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79CA1" w14:textId="737FB718" w:rsidR="0055358B" w:rsidRPr="001379D0" w:rsidRDefault="001379D0" w:rsidP="0055358B">
      <w:pPr>
        <w:spacing w:after="0" w:line="280" w:lineRule="atLeast"/>
        <w:rPr>
          <w:rFonts w:ascii="Lub Dub Medium" w:eastAsia="Times New Roman" w:hAnsi="Lub Dub Medium" w:cs="Segoe UI"/>
          <w:color w:val="000000"/>
          <w:sz w:val="20"/>
          <w:szCs w:val="20"/>
          <w:lang w:val="en"/>
        </w:rPr>
      </w:pPr>
      <w:r>
        <w:rPr>
          <w:rFonts w:ascii="Lub Dub Medium" w:eastAsia="Arial" w:hAnsi="Lub Dub Medium" w:cs="Arial"/>
          <w:b/>
          <w:noProof/>
        </w:rPr>
        <w:drawing>
          <wp:inline distT="0" distB="0" distL="0" distR="0" wp14:anchorId="05A00DA2" wp14:editId="6837A158">
            <wp:extent cx="3718560" cy="8686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A_EPIL_LOGO_RGB-HEX_r+k-sm.jpg"/>
                    <pic:cNvPicPr/>
                  </pic:nvPicPr>
                  <pic:blipFill>
                    <a:blip r:embed="rId4">
                      <a:extLst>
                        <a:ext uri="{28A0092B-C50C-407E-A947-70E740481C1C}">
                          <a14:useLocalDpi xmlns:a14="http://schemas.microsoft.com/office/drawing/2010/main" val="0"/>
                        </a:ext>
                      </a:extLst>
                    </a:blip>
                    <a:stretch>
                      <a:fillRect/>
                    </a:stretch>
                  </pic:blipFill>
                  <pic:spPr>
                    <a:xfrm>
                      <a:off x="0" y="0"/>
                      <a:ext cx="3718560" cy="868680"/>
                    </a:xfrm>
                    <a:prstGeom prst="rect">
                      <a:avLst/>
                    </a:prstGeom>
                  </pic:spPr>
                </pic:pic>
              </a:graphicData>
            </a:graphic>
          </wp:inline>
        </w:drawing>
      </w:r>
    </w:p>
    <w:p w14:paraId="569E1811" w14:textId="77777777" w:rsidR="001379D0" w:rsidRDefault="001379D0" w:rsidP="0055358B">
      <w:pPr>
        <w:spacing w:after="0" w:line="280" w:lineRule="atLeast"/>
        <w:rPr>
          <w:rFonts w:ascii="Lub Dub Medium" w:eastAsia="Times New Roman" w:hAnsi="Lub Dub Medium" w:cs="Segoe UI"/>
          <w:b/>
          <w:bCs/>
          <w:color w:val="336699"/>
          <w:sz w:val="20"/>
          <w:szCs w:val="20"/>
          <w:lang w:val="en"/>
        </w:rPr>
      </w:pPr>
    </w:p>
    <w:p w14:paraId="4F517E6C" w14:textId="77777777" w:rsidR="001379D0" w:rsidRPr="001379D0" w:rsidRDefault="001379D0" w:rsidP="001379D0">
      <w:pPr>
        <w:spacing w:after="0" w:line="240" w:lineRule="auto"/>
        <w:rPr>
          <w:rFonts w:ascii="Lub Dub Medium" w:hAnsi="Lub Dub Medium"/>
          <w:b/>
          <w:sz w:val="20"/>
          <w:szCs w:val="20"/>
        </w:rPr>
      </w:pPr>
      <w:r w:rsidRPr="001379D0">
        <w:rPr>
          <w:rFonts w:ascii="Lub Dub Medium" w:hAnsi="Lub Dub Medium"/>
          <w:b/>
          <w:sz w:val="20"/>
          <w:szCs w:val="20"/>
        </w:rPr>
        <w:t xml:space="preserve">EPI21 News Release </w:t>
      </w:r>
    </w:p>
    <w:p w14:paraId="046BCE8E" w14:textId="4CA0BECA" w:rsidR="001379D0" w:rsidRPr="001379D0" w:rsidRDefault="001379D0" w:rsidP="001379D0">
      <w:pPr>
        <w:spacing w:after="0" w:line="240" w:lineRule="auto"/>
        <w:rPr>
          <w:rFonts w:ascii="Lub Dub Medium" w:eastAsia="Times New Roman" w:hAnsi="Lub Dub Medium" w:cs="Segoe UI"/>
          <w:b/>
          <w:bCs/>
          <w:sz w:val="20"/>
          <w:szCs w:val="20"/>
        </w:rPr>
      </w:pPr>
      <w:r w:rsidRPr="001379D0">
        <w:rPr>
          <w:rFonts w:ascii="Lub Dub Medium" w:eastAsia="Times New Roman" w:hAnsi="Lub Dub Medium" w:cs="Segoe UI"/>
          <w:b/>
          <w:bCs/>
          <w:sz w:val="20"/>
          <w:szCs w:val="20"/>
        </w:rPr>
        <w:t>Presentation #MP65</w:t>
      </w:r>
    </w:p>
    <w:p w14:paraId="36DFBE7B" w14:textId="77777777" w:rsidR="001379D0" w:rsidRPr="001379D0" w:rsidRDefault="001379D0" w:rsidP="001379D0">
      <w:pPr>
        <w:spacing w:after="0" w:line="240" w:lineRule="auto"/>
        <w:rPr>
          <w:rFonts w:ascii="Lub Dub Medium" w:eastAsia="Times New Roman" w:hAnsi="Lub Dub Medium" w:cs="Segoe UI"/>
          <w:b/>
          <w:bCs/>
          <w:color w:val="C00000"/>
          <w:sz w:val="20"/>
          <w:szCs w:val="20"/>
        </w:rPr>
      </w:pPr>
      <w:r w:rsidRPr="001379D0">
        <w:rPr>
          <w:rFonts w:ascii="Lub Dub Medium" w:hAnsi="Lub Dub Medium"/>
          <w:b/>
          <w:bCs/>
          <w:color w:val="C00000"/>
          <w:sz w:val="20"/>
          <w:szCs w:val="20"/>
        </w:rPr>
        <w:t>Embargoed until 10 a.m. CT/ 11 a.m. ET, Thursday, May 20, 2021</w:t>
      </w:r>
    </w:p>
    <w:p w14:paraId="5CAA99B7" w14:textId="77777777" w:rsidR="001379D0" w:rsidRPr="001379D0" w:rsidRDefault="001379D0" w:rsidP="0055358B">
      <w:pPr>
        <w:spacing w:after="0" w:line="280" w:lineRule="atLeast"/>
        <w:rPr>
          <w:rFonts w:ascii="Lub Dub Medium" w:eastAsia="Times New Roman" w:hAnsi="Lub Dub Medium" w:cs="Segoe UI"/>
          <w:b/>
          <w:bCs/>
          <w:color w:val="336699"/>
          <w:sz w:val="20"/>
          <w:szCs w:val="20"/>
          <w:lang w:val="en"/>
        </w:rPr>
      </w:pPr>
    </w:p>
    <w:p w14:paraId="5C0A76DE" w14:textId="77777777" w:rsidR="001379D0" w:rsidRPr="001379D0" w:rsidRDefault="001379D0" w:rsidP="001379D0">
      <w:pPr>
        <w:suppressAutoHyphens/>
        <w:spacing w:after="0" w:line="240" w:lineRule="auto"/>
        <w:rPr>
          <w:rFonts w:ascii="Lub Dub Medium" w:hAnsi="Lub Dub Medium"/>
          <w:b/>
          <w:sz w:val="20"/>
          <w:szCs w:val="20"/>
          <w:lang w:eastAsia="ar-SA"/>
        </w:rPr>
      </w:pPr>
      <w:r w:rsidRPr="001379D0">
        <w:rPr>
          <w:rFonts w:ascii="Lub Dub Medium" w:hAnsi="Lub Dub Medium"/>
          <w:b/>
          <w:sz w:val="20"/>
          <w:szCs w:val="20"/>
          <w:lang w:eastAsia="ar-SA"/>
        </w:rPr>
        <w:t xml:space="preserve">Contact Information: </w:t>
      </w:r>
      <w:r w:rsidRPr="001379D0">
        <w:rPr>
          <w:rFonts w:ascii="Lub Dub Medium" w:hAnsi="Lub Dub Medium"/>
          <w:bCs/>
          <w:sz w:val="20"/>
          <w:szCs w:val="20"/>
          <w:lang w:eastAsia="ar-SA"/>
        </w:rPr>
        <w:t xml:space="preserve">Ambur Staab, M.D.-candidate, may be reached at 425-512-2592 or </w:t>
      </w:r>
      <w:hyperlink r:id="rId5" w:history="1">
        <w:r w:rsidRPr="001379D0">
          <w:rPr>
            <w:rStyle w:val="Hyperlink"/>
            <w:rFonts w:ascii="Lub Dub Medium" w:hAnsi="Lub Dub Medium"/>
            <w:bCs/>
            <w:sz w:val="20"/>
            <w:szCs w:val="20"/>
            <w:lang w:eastAsia="ar-SA"/>
          </w:rPr>
          <w:t>ambur.staab@hsc.utah.edu</w:t>
        </w:r>
      </w:hyperlink>
      <w:r w:rsidRPr="001379D0">
        <w:rPr>
          <w:rFonts w:ascii="Lub Dub Medium" w:hAnsi="Lub Dub Medium"/>
          <w:bCs/>
          <w:sz w:val="20"/>
          <w:szCs w:val="20"/>
          <w:lang w:eastAsia="ar-SA"/>
        </w:rPr>
        <w:t xml:space="preserve"> </w:t>
      </w:r>
      <w:r w:rsidRPr="001379D0">
        <w:rPr>
          <w:rFonts w:ascii="Lub Dub Medium" w:hAnsi="Lub Dub Medium"/>
          <w:bCs/>
          <w:i/>
          <w:iCs/>
          <w:sz w:val="20"/>
          <w:szCs w:val="20"/>
          <w:lang w:eastAsia="ar-SA"/>
        </w:rPr>
        <w:t>(please do not publish contact information)</w:t>
      </w:r>
      <w:r w:rsidRPr="001379D0">
        <w:rPr>
          <w:rFonts w:ascii="Lub Dub Medium" w:hAnsi="Lub Dub Medium"/>
          <w:bCs/>
          <w:sz w:val="20"/>
          <w:szCs w:val="20"/>
          <w:lang w:eastAsia="ar-SA"/>
        </w:rPr>
        <w:t xml:space="preserve">. </w:t>
      </w:r>
    </w:p>
    <w:p w14:paraId="15640392" w14:textId="77777777" w:rsidR="0063549B" w:rsidRPr="00520C6A" w:rsidRDefault="0063549B" w:rsidP="0063549B">
      <w:pPr>
        <w:spacing w:after="0" w:line="240" w:lineRule="auto"/>
        <w:rPr>
          <w:rFonts w:ascii="Lub Dub Medium" w:eastAsia="Times New Roman" w:hAnsi="Lub Dub Medium" w:cs="Segoe UI"/>
          <w:color w:val="000000"/>
          <w:sz w:val="20"/>
          <w:szCs w:val="20"/>
          <w:lang w:val="en"/>
        </w:rPr>
      </w:pPr>
      <w:r>
        <w:rPr>
          <w:rFonts w:ascii="Lub Dub Medium" w:eastAsia="Times New Roman" w:hAnsi="Lub Dub Medium" w:cs="Segoe UI"/>
          <w:color w:val="000000"/>
          <w:sz w:val="20"/>
          <w:szCs w:val="20"/>
          <w:lang w:val="en"/>
        </w:rPr>
        <w:pict w14:anchorId="08508DFE">
          <v:rect id="_x0000_i1025" style="width:0;height:1.5pt" o:hralign="center" o:hrstd="t" o:hr="t" fillcolor="#a0a0a0" stroked="f"/>
        </w:pict>
      </w:r>
    </w:p>
    <w:p w14:paraId="3DA0B47D" w14:textId="17D7F03A" w:rsidR="0055358B" w:rsidRPr="001379D0" w:rsidRDefault="0055358B" w:rsidP="0055358B">
      <w:pPr>
        <w:spacing w:after="0" w:line="280" w:lineRule="atLeast"/>
        <w:rPr>
          <w:rFonts w:ascii="Lub Dub Medium" w:eastAsia="Times New Roman" w:hAnsi="Lub Dub Medium" w:cs="Segoe UI"/>
          <w:b/>
          <w:bCs/>
          <w:color w:val="336699"/>
          <w:sz w:val="20"/>
          <w:szCs w:val="20"/>
          <w:lang w:val="en"/>
        </w:rPr>
      </w:pPr>
      <w:r w:rsidRPr="001379D0">
        <w:rPr>
          <w:rFonts w:ascii="Lub Dub Medium" w:eastAsia="Times New Roman" w:hAnsi="Lub Dub Medium" w:cs="Segoe UI"/>
          <w:b/>
          <w:bCs/>
          <w:color w:val="336699"/>
          <w:sz w:val="20"/>
          <w:szCs w:val="20"/>
          <w:lang w:val="en"/>
        </w:rPr>
        <w:t>Session Assignment</w:t>
      </w:r>
    </w:p>
    <w:p w14:paraId="50CE3C4F" w14:textId="568C6D90" w:rsidR="001379D0" w:rsidRPr="001379D0" w:rsidRDefault="001379D0" w:rsidP="0055358B">
      <w:pPr>
        <w:spacing w:after="0" w:line="280" w:lineRule="atLeast"/>
        <w:rPr>
          <w:rFonts w:ascii="Lub Dub Medium" w:eastAsia="Times New Roman" w:hAnsi="Lub Dub Medium" w:cs="Segoe UI"/>
          <w:color w:val="000000"/>
          <w:sz w:val="20"/>
          <w:szCs w:val="20"/>
        </w:rPr>
      </w:pPr>
      <w:r w:rsidRPr="001379D0">
        <w:rPr>
          <w:rFonts w:ascii="Lub Dub Medium" w:eastAsia="Times New Roman" w:hAnsi="Lub Dub Medium" w:cs="Segoe UI"/>
          <w:color w:val="000000" w:themeColor="text1"/>
          <w:sz w:val="20"/>
          <w:szCs w:val="20"/>
        </w:rPr>
        <w:t>MPS12 - Novel CVD Risk Factors</w:t>
      </w:r>
      <w:r w:rsidRPr="001379D0">
        <w:rPr>
          <w:rFonts w:ascii="Lub Dub Medium" w:eastAsia="Times New Roman" w:hAnsi="Lub Dub Medium" w:cs="Segoe UI"/>
          <w:color w:val="000000"/>
          <w:sz w:val="20"/>
          <w:szCs w:val="20"/>
        </w:rPr>
        <w:t xml:space="preserve"> (Presentation #MP65; Speaking Time: 5/21/2021 2:15:00 PM - 5/21/2021 2:20:00 PM)</w:t>
      </w:r>
    </w:p>
    <w:p w14:paraId="1556EB9B" w14:textId="4C71D012" w:rsidR="0055358B" w:rsidRPr="001379D0" w:rsidRDefault="00AF4645" w:rsidP="0055358B">
      <w:pPr>
        <w:spacing w:after="0" w:line="280" w:lineRule="atLeast"/>
        <w:rPr>
          <w:rFonts w:ascii="Lub Dub Medium" w:eastAsia="Times New Roman" w:hAnsi="Lub Dub Medium" w:cs="Segoe UI"/>
          <w:color w:val="000000"/>
          <w:sz w:val="20"/>
          <w:szCs w:val="20"/>
          <w:lang w:val="en"/>
        </w:rPr>
      </w:pPr>
      <w:r>
        <w:rPr>
          <w:rFonts w:ascii="Lub Dub Medium" w:eastAsia="Times New Roman" w:hAnsi="Lub Dub Medium" w:cs="Segoe UI"/>
          <w:color w:val="000000"/>
          <w:sz w:val="20"/>
          <w:szCs w:val="20"/>
          <w:lang w:val="en"/>
        </w:rPr>
        <w:pict w14:anchorId="6D78C030">
          <v:rect id="_x0000_i1027" style="width:0;height:1.5pt" o:hralign="center" o:hrstd="t" o:hr="t" fillcolor="#a0a0a0" stroked="f"/>
        </w:pict>
      </w:r>
    </w:p>
    <w:p w14:paraId="4299479D" w14:textId="77777777" w:rsidR="0055358B" w:rsidRPr="001379D0" w:rsidRDefault="0055358B" w:rsidP="0055358B">
      <w:pPr>
        <w:spacing w:after="0" w:line="280" w:lineRule="atLeast"/>
        <w:rPr>
          <w:rFonts w:ascii="Lub Dub Medium" w:eastAsia="Times New Roman" w:hAnsi="Lub Dub Medium" w:cs="Segoe UI"/>
          <w:b/>
          <w:bCs/>
          <w:color w:val="336699"/>
          <w:sz w:val="20"/>
          <w:szCs w:val="20"/>
          <w:lang w:val="en"/>
        </w:rPr>
      </w:pPr>
      <w:r w:rsidRPr="001379D0">
        <w:rPr>
          <w:rFonts w:ascii="Lub Dub Medium" w:eastAsia="Times New Roman" w:hAnsi="Lub Dub Medium" w:cs="Segoe UI"/>
          <w:b/>
          <w:bCs/>
          <w:color w:val="336699"/>
          <w:sz w:val="20"/>
          <w:szCs w:val="20"/>
          <w:lang w:val="en"/>
        </w:rPr>
        <w:t>Title</w:t>
      </w:r>
    </w:p>
    <w:p w14:paraId="0D5D359E" w14:textId="77777777" w:rsidR="0055358B" w:rsidRPr="001379D0" w:rsidRDefault="0055358B" w:rsidP="001379D0">
      <w:pPr>
        <w:spacing w:after="0" w:line="280" w:lineRule="atLeast"/>
        <w:rPr>
          <w:rFonts w:ascii="Lub Dub Medium" w:eastAsia="Times New Roman" w:hAnsi="Lub Dub Medium" w:cs="Segoe UI"/>
          <w:color w:val="000000"/>
          <w:sz w:val="20"/>
          <w:szCs w:val="20"/>
          <w:lang w:val="en"/>
        </w:rPr>
      </w:pPr>
      <w:r w:rsidRPr="001379D0">
        <w:rPr>
          <w:rFonts w:ascii="Lub Dub Medium" w:eastAsia="Times New Roman" w:hAnsi="Lub Dub Medium" w:cs="Segoe UI"/>
          <w:b/>
          <w:bCs/>
          <w:color w:val="000000"/>
          <w:sz w:val="20"/>
          <w:szCs w:val="20"/>
          <w:lang w:val="en"/>
        </w:rPr>
        <w:t>Transgender Adolescents Have High Prevalence Of Atherosclerotic Cardiovascular Disease Risk Factors Before And After Taking Hormone Therapy For 1 Year</w:t>
      </w:r>
    </w:p>
    <w:p w14:paraId="4C0D289D" w14:textId="7CD6EB7D" w:rsidR="001379D0" w:rsidRPr="001379D0" w:rsidRDefault="00AF4645" w:rsidP="0055358B">
      <w:pPr>
        <w:spacing w:after="0" w:line="280" w:lineRule="atLeast"/>
        <w:rPr>
          <w:rFonts w:ascii="Lub Dub Medium" w:eastAsia="Times New Roman" w:hAnsi="Lub Dub Medium" w:cs="Segoe UI"/>
          <w:b/>
          <w:bCs/>
          <w:color w:val="336699"/>
          <w:sz w:val="20"/>
          <w:szCs w:val="20"/>
          <w:lang w:val="en"/>
        </w:rPr>
      </w:pPr>
      <w:r>
        <w:rPr>
          <w:rFonts w:ascii="Lub Dub Medium" w:eastAsia="Times New Roman" w:hAnsi="Lub Dub Medium" w:cs="Segoe UI"/>
          <w:color w:val="000000"/>
          <w:sz w:val="20"/>
          <w:szCs w:val="20"/>
          <w:lang w:val="en"/>
        </w:rPr>
        <w:pict w14:anchorId="45482C43">
          <v:rect id="_x0000_i1028" style="width:0;height:1.5pt" o:hralign="center" o:hrstd="t" o:hr="t" fillcolor="#a0a0a0" stroked="f"/>
        </w:pict>
      </w:r>
    </w:p>
    <w:p w14:paraId="4FB99E8B" w14:textId="37517BF5" w:rsidR="0055358B" w:rsidRPr="001379D0" w:rsidRDefault="0055358B" w:rsidP="0055358B">
      <w:pPr>
        <w:spacing w:after="0" w:line="280" w:lineRule="atLeast"/>
        <w:rPr>
          <w:rFonts w:ascii="Lub Dub Medium" w:eastAsia="Times New Roman" w:hAnsi="Lub Dub Medium" w:cs="Segoe UI"/>
          <w:b/>
          <w:bCs/>
          <w:color w:val="336699"/>
          <w:sz w:val="20"/>
          <w:szCs w:val="20"/>
          <w:lang w:val="en"/>
        </w:rPr>
      </w:pPr>
      <w:r w:rsidRPr="001379D0">
        <w:rPr>
          <w:rFonts w:ascii="Lub Dub Medium" w:eastAsia="Times New Roman" w:hAnsi="Lub Dub Medium" w:cs="Segoe UI"/>
          <w:b/>
          <w:bCs/>
          <w:color w:val="336699"/>
          <w:sz w:val="20"/>
          <w:szCs w:val="20"/>
          <w:lang w:val="en"/>
        </w:rPr>
        <w:t>Abstract Content</w:t>
      </w:r>
    </w:p>
    <w:p w14:paraId="4871B99B" w14:textId="77777777" w:rsidR="001379D0" w:rsidRPr="001379D0" w:rsidRDefault="001379D0" w:rsidP="0055358B">
      <w:pPr>
        <w:spacing w:after="0" w:line="280" w:lineRule="atLeast"/>
        <w:rPr>
          <w:rFonts w:ascii="Lub Dub Medium" w:eastAsia="Times New Roman" w:hAnsi="Lub Dub Medium" w:cs="Segoe UI"/>
          <w:color w:val="000000"/>
          <w:sz w:val="20"/>
          <w:szCs w:val="20"/>
        </w:rPr>
      </w:pPr>
      <w:r w:rsidRPr="001379D0">
        <w:rPr>
          <w:rFonts w:ascii="Lub Dub Medium" w:eastAsia="Times New Roman" w:hAnsi="Lub Dub Medium" w:cs="Segoe UI"/>
          <w:b/>
          <w:bCs/>
          <w:color w:val="000000"/>
          <w:sz w:val="20"/>
          <w:szCs w:val="20"/>
        </w:rPr>
        <w:t xml:space="preserve">Introduction: </w:t>
      </w:r>
      <w:r w:rsidRPr="001379D0">
        <w:rPr>
          <w:rFonts w:ascii="Lub Dub Medium" w:eastAsia="Times New Roman" w:hAnsi="Lub Dub Medium" w:cs="Segoe UI"/>
          <w:color w:val="000000"/>
          <w:sz w:val="20"/>
          <w:szCs w:val="20"/>
        </w:rPr>
        <w:t xml:space="preserve">The United States has a growing population of transgender adolescents aged 12-21y presenting for medical transition via gender affirming hormone therapy (HT). Transgender people do not identify with their sex assigned at birth while cisgender people do. HT involves estrogen for trans females, those who identify as female, and testosterone for trans males, those who identify as male. Initiation of HT is beginning in adolescence and is a lifelong commitment for many transgender individuals. Little is known about how HT affects ASCVD risk factors in transgender adolescents. Studies of cisgender adults show cardioprotective effects of estrogen, and an estimated 37% of normal-weight cis gender adolescents have at least 1 ASCVD risk factor; but little investigation exists for transgender people, especially adolescents. Although some studies involving the transgender population have reproducible results, few include adolescents and comparison to acceptable ASCVD risk factor profiles. Guidelines for transgender health recommend laboratory assessment before starting HT and annually. This study expands on current knowledge and informs clinical practice by comparing ASCVD risk biomarkers of transgender adolescents taking HT to acceptable clinical values for adolescents. </w:t>
      </w:r>
      <w:r w:rsidRPr="001379D0">
        <w:rPr>
          <w:rFonts w:ascii="Lub Dub Medium" w:eastAsia="Times New Roman" w:hAnsi="Lub Dub Medium" w:cs="Segoe UI"/>
          <w:b/>
          <w:bCs/>
          <w:color w:val="000000"/>
          <w:sz w:val="20"/>
          <w:szCs w:val="20"/>
        </w:rPr>
        <w:t xml:space="preserve">Hypothesis: </w:t>
      </w:r>
      <w:r w:rsidRPr="001379D0">
        <w:rPr>
          <w:rFonts w:ascii="Lub Dub Medium" w:eastAsia="Times New Roman" w:hAnsi="Lub Dub Medium" w:cs="Segoe UI"/>
          <w:color w:val="000000"/>
          <w:sz w:val="20"/>
          <w:szCs w:val="20"/>
        </w:rPr>
        <w:t xml:space="preserve">Estrogen therapy for trans females will ameliorate ASCVD risk factors while testosterone therapy for trans males will worsen ASCVD risk factors. </w:t>
      </w:r>
      <w:r w:rsidRPr="001379D0">
        <w:rPr>
          <w:rFonts w:ascii="Lub Dub Medium" w:eastAsia="Times New Roman" w:hAnsi="Lub Dub Medium" w:cs="Segoe UI"/>
          <w:b/>
          <w:bCs/>
          <w:color w:val="000000"/>
          <w:sz w:val="20"/>
          <w:szCs w:val="20"/>
        </w:rPr>
        <w:t xml:space="preserve">Methods: </w:t>
      </w:r>
      <w:r w:rsidRPr="001379D0">
        <w:rPr>
          <w:rFonts w:ascii="Lub Dub Medium" w:eastAsia="Times New Roman" w:hAnsi="Lub Dub Medium" w:cs="Segoe UI"/>
          <w:color w:val="000000"/>
          <w:sz w:val="20"/>
          <w:szCs w:val="20"/>
        </w:rPr>
        <w:t>Retrospective chart review identified 300 transgender patients receiving HT at an academic adolescent medicine gender clinic. Of those 300, 50 trans female and 50 trans male were randomly selected for evaluation of ASCVD risk parameters at baseline and 1 year after initiating HT. ASCVD risk factors were compared to the International Diabetes Federation guidelines for metabolic syndrome. Parameters included lipids, glucose, and blood pressure. BMI ≥30 was used as proxy for obesity. Results: At baseline, at least one abnormal value was found for 50% (n=25, of these 5 had obesity) of trans females and 66% (n=33, of these 13 had obesity) of trans males. At 1 year, at least one abnormal value was found for 30% (n=15) of trans females and 70% (n=35) of trans males. At baseline, 50% (n=25) of trans females and 82% (n=41) of trans males, and at 1 year 20% (n=10) of trans females and 48% (24) of trans males had all parameters measured.</w:t>
      </w:r>
      <w:r w:rsidRPr="001379D0">
        <w:rPr>
          <w:rFonts w:ascii="Lub Dub Medium" w:eastAsia="Times New Roman" w:hAnsi="Lub Dub Medium" w:cs="Segoe UI"/>
          <w:b/>
          <w:bCs/>
          <w:color w:val="000000"/>
          <w:sz w:val="20"/>
          <w:szCs w:val="20"/>
        </w:rPr>
        <w:t xml:space="preserve"> </w:t>
      </w:r>
      <w:r w:rsidRPr="001379D0">
        <w:rPr>
          <w:rFonts w:ascii="Lub Dub Medium" w:eastAsia="Times New Roman" w:hAnsi="Lub Dub Medium" w:cs="Segoe UI"/>
          <w:color w:val="000000"/>
          <w:sz w:val="20"/>
          <w:szCs w:val="20"/>
        </w:rPr>
        <w:t>Paired t-tests (</w:t>
      </w:r>
      <w:r w:rsidRPr="001379D0">
        <w:rPr>
          <w:rFonts w:ascii="Calibri" w:eastAsia="Times New Roman" w:hAnsi="Calibri" w:cs="Calibri"/>
          <w:color w:val="000000"/>
          <w:sz w:val="20"/>
          <w:szCs w:val="20"/>
        </w:rPr>
        <w:t>α</w:t>
      </w:r>
      <w:r w:rsidRPr="001379D0">
        <w:rPr>
          <w:rFonts w:ascii="Lub Dub Medium" w:eastAsia="Times New Roman" w:hAnsi="Lub Dub Medium" w:cs="Segoe UI"/>
          <w:color w:val="000000"/>
          <w:sz w:val="20"/>
          <w:szCs w:val="20"/>
        </w:rPr>
        <w:t xml:space="preserve">=.05) showed no significant change in ASCVD risk factors for trans females, and significant decrease in HDL and significant increase in BMI for trans males after 1 year of HT. </w:t>
      </w:r>
      <w:r w:rsidRPr="001379D0">
        <w:rPr>
          <w:rFonts w:ascii="Lub Dub Medium" w:eastAsia="Times New Roman" w:hAnsi="Lub Dub Medium" w:cs="Segoe UI"/>
          <w:b/>
          <w:bCs/>
          <w:color w:val="000000"/>
          <w:sz w:val="20"/>
          <w:szCs w:val="20"/>
        </w:rPr>
        <w:t xml:space="preserve">Conclusions: </w:t>
      </w:r>
      <w:r w:rsidRPr="001379D0">
        <w:rPr>
          <w:rFonts w:ascii="Lub Dub Medium" w:eastAsia="Times New Roman" w:hAnsi="Lub Dub Medium" w:cs="Segoe UI"/>
          <w:color w:val="000000"/>
          <w:sz w:val="20"/>
          <w:szCs w:val="20"/>
        </w:rPr>
        <w:t>The prevalence of having at least 1 ASCVD risk factor is greater among transgender adolescents than normal weight cisgender adolescents. HT may worsen HDL and BMI for trans males. We recommend baseline parameters for all and follow up and lab surveillance for patients with abnormal baseline parameters.</w:t>
      </w:r>
    </w:p>
    <w:p w14:paraId="2CFCD1AF" w14:textId="645416E2" w:rsidR="0055358B" w:rsidRPr="001379D0" w:rsidRDefault="0055358B" w:rsidP="0055358B">
      <w:pPr>
        <w:spacing w:after="0" w:line="280" w:lineRule="atLeast"/>
        <w:rPr>
          <w:rFonts w:ascii="Lub Dub Medium" w:eastAsia="Times New Roman" w:hAnsi="Lub Dub Medium" w:cs="Segoe UI"/>
          <w:color w:val="000000"/>
          <w:sz w:val="20"/>
          <w:szCs w:val="20"/>
          <w:lang w:val="en"/>
        </w:rPr>
      </w:pPr>
    </w:p>
    <w:p w14:paraId="7A050043" w14:textId="77777777" w:rsidR="0055358B" w:rsidRPr="001379D0" w:rsidRDefault="0055358B" w:rsidP="0055358B">
      <w:pPr>
        <w:spacing w:after="0" w:line="280" w:lineRule="atLeast"/>
        <w:rPr>
          <w:rFonts w:ascii="Lub Dub Medium" w:eastAsia="Times New Roman" w:hAnsi="Lub Dub Medium" w:cs="Segoe UI"/>
          <w:b/>
          <w:bCs/>
          <w:color w:val="336699"/>
          <w:sz w:val="20"/>
          <w:szCs w:val="20"/>
          <w:lang w:val="en"/>
        </w:rPr>
      </w:pPr>
      <w:r w:rsidRPr="001379D0">
        <w:rPr>
          <w:rFonts w:ascii="Lub Dub Medium" w:eastAsia="Times New Roman" w:hAnsi="Lub Dub Medium" w:cs="Segoe UI"/>
          <w:b/>
          <w:bCs/>
          <w:color w:val="336699"/>
          <w:sz w:val="20"/>
          <w:szCs w:val="20"/>
          <w:lang w:val="en"/>
        </w:rPr>
        <w:t>Author Block</w:t>
      </w:r>
    </w:p>
    <w:p w14:paraId="2CE7F471" w14:textId="77777777" w:rsidR="0055358B" w:rsidRPr="001379D0" w:rsidRDefault="0055358B" w:rsidP="001379D0">
      <w:pPr>
        <w:spacing w:after="0" w:line="280" w:lineRule="atLeast"/>
        <w:rPr>
          <w:rFonts w:ascii="Lub Dub Medium" w:eastAsia="Times New Roman" w:hAnsi="Lub Dub Medium" w:cs="Segoe UI"/>
          <w:color w:val="000000"/>
          <w:sz w:val="20"/>
          <w:szCs w:val="20"/>
          <w:lang w:val="en"/>
        </w:rPr>
      </w:pPr>
      <w:r w:rsidRPr="001379D0">
        <w:rPr>
          <w:rFonts w:ascii="Lub Dub Medium" w:eastAsia="Times New Roman" w:hAnsi="Lub Dub Medium" w:cs="Segoe UI"/>
          <w:b/>
          <w:bCs/>
          <w:color w:val="000000"/>
          <w:sz w:val="20"/>
          <w:szCs w:val="20"/>
          <w:lang w:val="en"/>
        </w:rPr>
        <w:lastRenderedPageBreak/>
        <w:t>Ambur M Staab</w:t>
      </w:r>
      <w:r w:rsidRPr="001379D0">
        <w:rPr>
          <w:rFonts w:ascii="Lub Dub Medium" w:eastAsia="Times New Roman" w:hAnsi="Lub Dub Medium" w:cs="Segoe UI"/>
          <w:color w:val="000000"/>
          <w:sz w:val="20"/>
          <w:szCs w:val="20"/>
          <w:lang w:val="en"/>
        </w:rPr>
        <w:t>, UNIVERSITY OF UTAH Sch of Med, Salt Lake Cty, UT; Amy M Cizik, UNIVERSITY OF UTAH Orthopedics, Salt Lake Cty, UT; Nicole L Mihalopoulos, UNIVERSITY OF UTAH PEDIATRICS, Salt Lake Cty, UT</w:t>
      </w:r>
    </w:p>
    <w:p w14:paraId="65E95461" w14:textId="77777777" w:rsidR="004331E3" w:rsidRDefault="004331E3"/>
    <w:sectPr w:rsidR="004331E3" w:rsidSect="009636E2">
      <w:pgSz w:w="12240" w:h="15840"/>
      <w:pgMar w:top="1152" w:right="576"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58B"/>
    <w:rsid w:val="001379D0"/>
    <w:rsid w:val="004331E3"/>
    <w:rsid w:val="0055358B"/>
    <w:rsid w:val="0063549B"/>
    <w:rsid w:val="009636E2"/>
    <w:rsid w:val="00AF4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B2F00"/>
  <w15:chartTrackingRefBased/>
  <w15:docId w15:val="{AF35E066-868C-468C-95A8-08AD6439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535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703813">
      <w:bodyDiv w:val="1"/>
      <w:marLeft w:val="0"/>
      <w:marRight w:val="0"/>
      <w:marTop w:val="0"/>
      <w:marBottom w:val="0"/>
      <w:divBdr>
        <w:top w:val="none" w:sz="0" w:space="0" w:color="auto"/>
        <w:left w:val="none" w:sz="0" w:space="0" w:color="auto"/>
        <w:bottom w:val="none" w:sz="0" w:space="0" w:color="auto"/>
        <w:right w:val="none" w:sz="0" w:space="0" w:color="auto"/>
      </w:divBdr>
      <w:divsChild>
        <w:div w:id="1210259350">
          <w:marLeft w:val="0"/>
          <w:marRight w:val="0"/>
          <w:marTop w:val="0"/>
          <w:marBottom w:val="0"/>
          <w:divBdr>
            <w:top w:val="none" w:sz="0" w:space="0" w:color="auto"/>
            <w:left w:val="none" w:sz="0" w:space="0" w:color="auto"/>
            <w:bottom w:val="none" w:sz="0" w:space="0" w:color="auto"/>
            <w:right w:val="none" w:sz="0" w:space="0" w:color="auto"/>
          </w:divBdr>
          <w:divsChild>
            <w:div w:id="1956012115">
              <w:marLeft w:val="0"/>
              <w:marRight w:val="0"/>
              <w:marTop w:val="0"/>
              <w:marBottom w:val="0"/>
              <w:divBdr>
                <w:top w:val="none" w:sz="0" w:space="0" w:color="auto"/>
                <w:left w:val="none" w:sz="0" w:space="0" w:color="auto"/>
                <w:bottom w:val="none" w:sz="0" w:space="0" w:color="auto"/>
                <w:right w:val="none" w:sz="0" w:space="0" w:color="auto"/>
              </w:divBdr>
            </w:div>
          </w:divsChild>
        </w:div>
        <w:div w:id="1507817164">
          <w:marLeft w:val="0"/>
          <w:marRight w:val="0"/>
          <w:marTop w:val="0"/>
          <w:marBottom w:val="0"/>
          <w:divBdr>
            <w:top w:val="none" w:sz="0" w:space="0" w:color="auto"/>
            <w:left w:val="none" w:sz="0" w:space="0" w:color="auto"/>
            <w:bottom w:val="none" w:sz="0" w:space="0" w:color="auto"/>
            <w:right w:val="none" w:sz="0" w:space="0" w:color="auto"/>
          </w:divBdr>
        </w:div>
        <w:div w:id="294608044">
          <w:marLeft w:val="0"/>
          <w:marRight w:val="0"/>
          <w:marTop w:val="0"/>
          <w:marBottom w:val="0"/>
          <w:divBdr>
            <w:top w:val="none" w:sz="0" w:space="0" w:color="auto"/>
            <w:left w:val="none" w:sz="0" w:space="0" w:color="auto"/>
            <w:bottom w:val="none" w:sz="0" w:space="0" w:color="auto"/>
            <w:right w:val="none" w:sz="0" w:space="0" w:color="auto"/>
          </w:divBdr>
        </w:div>
        <w:div w:id="1666085754">
          <w:marLeft w:val="0"/>
          <w:marRight w:val="0"/>
          <w:marTop w:val="0"/>
          <w:marBottom w:val="0"/>
          <w:divBdr>
            <w:top w:val="none" w:sz="0" w:space="0" w:color="auto"/>
            <w:left w:val="none" w:sz="0" w:space="0" w:color="auto"/>
            <w:bottom w:val="none" w:sz="0" w:space="0" w:color="auto"/>
            <w:right w:val="none" w:sz="0" w:space="0" w:color="auto"/>
          </w:divBdr>
        </w:div>
        <w:div w:id="1927960392">
          <w:marLeft w:val="0"/>
          <w:marRight w:val="0"/>
          <w:marTop w:val="0"/>
          <w:marBottom w:val="0"/>
          <w:divBdr>
            <w:top w:val="none" w:sz="0" w:space="0" w:color="auto"/>
            <w:left w:val="none" w:sz="0" w:space="0" w:color="auto"/>
            <w:bottom w:val="none" w:sz="0" w:space="0" w:color="auto"/>
            <w:right w:val="none" w:sz="0" w:space="0" w:color="auto"/>
          </w:divBdr>
        </w:div>
        <w:div w:id="210072418">
          <w:marLeft w:val="0"/>
          <w:marRight w:val="0"/>
          <w:marTop w:val="0"/>
          <w:marBottom w:val="0"/>
          <w:divBdr>
            <w:top w:val="none" w:sz="0" w:space="0" w:color="auto"/>
            <w:left w:val="none" w:sz="0" w:space="0" w:color="auto"/>
            <w:bottom w:val="none" w:sz="0" w:space="0" w:color="auto"/>
            <w:right w:val="none" w:sz="0" w:space="0" w:color="auto"/>
          </w:divBdr>
        </w:div>
        <w:div w:id="550382226">
          <w:marLeft w:val="0"/>
          <w:marRight w:val="0"/>
          <w:marTop w:val="0"/>
          <w:marBottom w:val="0"/>
          <w:divBdr>
            <w:top w:val="none" w:sz="0" w:space="0" w:color="auto"/>
            <w:left w:val="none" w:sz="0" w:space="0" w:color="auto"/>
            <w:bottom w:val="none" w:sz="0" w:space="0" w:color="auto"/>
            <w:right w:val="none" w:sz="0" w:space="0" w:color="auto"/>
          </w:divBdr>
        </w:div>
        <w:div w:id="1187527445">
          <w:marLeft w:val="0"/>
          <w:marRight w:val="0"/>
          <w:marTop w:val="0"/>
          <w:marBottom w:val="0"/>
          <w:divBdr>
            <w:top w:val="none" w:sz="0" w:space="0" w:color="auto"/>
            <w:left w:val="none" w:sz="0" w:space="0" w:color="auto"/>
            <w:bottom w:val="none" w:sz="0" w:space="0" w:color="auto"/>
            <w:right w:val="none" w:sz="0" w:space="0" w:color="auto"/>
          </w:divBdr>
        </w:div>
        <w:div w:id="761025909">
          <w:marLeft w:val="0"/>
          <w:marRight w:val="0"/>
          <w:marTop w:val="0"/>
          <w:marBottom w:val="0"/>
          <w:divBdr>
            <w:top w:val="none" w:sz="0" w:space="0" w:color="auto"/>
            <w:left w:val="none" w:sz="0" w:space="0" w:color="auto"/>
            <w:bottom w:val="none" w:sz="0" w:space="0" w:color="auto"/>
            <w:right w:val="none" w:sz="0" w:space="0" w:color="auto"/>
          </w:divBdr>
          <w:divsChild>
            <w:div w:id="1003825923">
              <w:marLeft w:val="0"/>
              <w:marRight w:val="0"/>
              <w:marTop w:val="0"/>
              <w:marBottom w:val="0"/>
              <w:divBdr>
                <w:top w:val="none" w:sz="0" w:space="0" w:color="auto"/>
                <w:left w:val="none" w:sz="0" w:space="0" w:color="auto"/>
                <w:bottom w:val="none" w:sz="0" w:space="0" w:color="auto"/>
                <w:right w:val="none" w:sz="0" w:space="0" w:color="auto"/>
              </w:divBdr>
            </w:div>
          </w:divsChild>
        </w:div>
        <w:div w:id="235895589">
          <w:marLeft w:val="0"/>
          <w:marRight w:val="0"/>
          <w:marTop w:val="0"/>
          <w:marBottom w:val="0"/>
          <w:divBdr>
            <w:top w:val="none" w:sz="0" w:space="0" w:color="auto"/>
            <w:left w:val="none" w:sz="0" w:space="0" w:color="auto"/>
            <w:bottom w:val="none" w:sz="0" w:space="0" w:color="auto"/>
            <w:right w:val="none" w:sz="0" w:space="0" w:color="auto"/>
          </w:divBdr>
          <w:divsChild>
            <w:div w:id="259147674">
              <w:marLeft w:val="0"/>
              <w:marRight w:val="0"/>
              <w:marTop w:val="0"/>
              <w:marBottom w:val="0"/>
              <w:divBdr>
                <w:top w:val="none" w:sz="0" w:space="0" w:color="auto"/>
                <w:left w:val="none" w:sz="0" w:space="0" w:color="auto"/>
                <w:bottom w:val="none" w:sz="0" w:space="0" w:color="auto"/>
                <w:right w:val="none" w:sz="0" w:space="0" w:color="auto"/>
              </w:divBdr>
              <w:divsChild>
                <w:div w:id="7840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3464">
          <w:marLeft w:val="0"/>
          <w:marRight w:val="0"/>
          <w:marTop w:val="0"/>
          <w:marBottom w:val="0"/>
          <w:divBdr>
            <w:top w:val="none" w:sz="0" w:space="0" w:color="auto"/>
            <w:left w:val="none" w:sz="0" w:space="0" w:color="auto"/>
            <w:bottom w:val="none" w:sz="0" w:space="0" w:color="auto"/>
            <w:right w:val="none" w:sz="0" w:space="0" w:color="auto"/>
          </w:divBdr>
        </w:div>
        <w:div w:id="1488862229">
          <w:marLeft w:val="0"/>
          <w:marRight w:val="0"/>
          <w:marTop w:val="0"/>
          <w:marBottom w:val="0"/>
          <w:divBdr>
            <w:top w:val="none" w:sz="0" w:space="0" w:color="auto"/>
            <w:left w:val="none" w:sz="0" w:space="0" w:color="auto"/>
            <w:bottom w:val="none" w:sz="0" w:space="0" w:color="auto"/>
            <w:right w:val="none" w:sz="0" w:space="0" w:color="auto"/>
          </w:divBdr>
          <w:divsChild>
            <w:div w:id="6060757">
              <w:marLeft w:val="0"/>
              <w:marRight w:val="0"/>
              <w:marTop w:val="0"/>
              <w:marBottom w:val="0"/>
              <w:divBdr>
                <w:top w:val="none" w:sz="0" w:space="0" w:color="auto"/>
                <w:left w:val="none" w:sz="0" w:space="0" w:color="auto"/>
                <w:bottom w:val="none" w:sz="0" w:space="0" w:color="auto"/>
                <w:right w:val="none" w:sz="0" w:space="0" w:color="auto"/>
              </w:divBdr>
            </w:div>
          </w:divsChild>
        </w:div>
        <w:div w:id="494566135">
          <w:marLeft w:val="0"/>
          <w:marRight w:val="0"/>
          <w:marTop w:val="0"/>
          <w:marBottom w:val="0"/>
          <w:divBdr>
            <w:top w:val="none" w:sz="0" w:space="0" w:color="auto"/>
            <w:left w:val="none" w:sz="0" w:space="0" w:color="auto"/>
            <w:bottom w:val="none" w:sz="0" w:space="0" w:color="auto"/>
            <w:right w:val="none" w:sz="0" w:space="0" w:color="auto"/>
          </w:divBdr>
          <w:divsChild>
            <w:div w:id="116726720">
              <w:marLeft w:val="0"/>
              <w:marRight w:val="0"/>
              <w:marTop w:val="0"/>
              <w:marBottom w:val="0"/>
              <w:divBdr>
                <w:top w:val="none" w:sz="0" w:space="0" w:color="auto"/>
                <w:left w:val="none" w:sz="0" w:space="0" w:color="auto"/>
                <w:bottom w:val="none" w:sz="0" w:space="0" w:color="auto"/>
                <w:right w:val="none" w:sz="0" w:space="0" w:color="auto"/>
              </w:divBdr>
              <w:divsChild>
                <w:div w:id="55104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2420">
          <w:marLeft w:val="0"/>
          <w:marRight w:val="0"/>
          <w:marTop w:val="0"/>
          <w:marBottom w:val="0"/>
          <w:divBdr>
            <w:top w:val="none" w:sz="0" w:space="0" w:color="auto"/>
            <w:left w:val="none" w:sz="0" w:space="0" w:color="auto"/>
            <w:bottom w:val="none" w:sz="0" w:space="0" w:color="auto"/>
            <w:right w:val="none" w:sz="0" w:space="0" w:color="auto"/>
          </w:divBdr>
        </w:div>
        <w:div w:id="82192756">
          <w:marLeft w:val="0"/>
          <w:marRight w:val="0"/>
          <w:marTop w:val="0"/>
          <w:marBottom w:val="0"/>
          <w:divBdr>
            <w:top w:val="none" w:sz="0" w:space="0" w:color="auto"/>
            <w:left w:val="none" w:sz="0" w:space="0" w:color="auto"/>
            <w:bottom w:val="none" w:sz="0" w:space="0" w:color="auto"/>
            <w:right w:val="none" w:sz="0" w:space="0" w:color="auto"/>
          </w:divBdr>
          <w:divsChild>
            <w:div w:id="87642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mbur.staab@hsc.utah.edu"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Astle</dc:creator>
  <cp:keywords/>
  <dc:description/>
  <cp:lastModifiedBy>William Westmoreland</cp:lastModifiedBy>
  <cp:revision>4</cp:revision>
  <dcterms:created xsi:type="dcterms:W3CDTF">2021-04-06T21:57:00Z</dcterms:created>
  <dcterms:modified xsi:type="dcterms:W3CDTF">2021-05-12T13:31:00Z</dcterms:modified>
</cp:coreProperties>
</file>