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pPr>
        <w:widowControl w:val="0"/>
        <w:spacing w:before="0" w:after="0"/>
        <w:ind w:firstLine="7200"/>
        <w:jc w:val="right"/>
      </w:pPr>
      <w:bookmarkStart w:id="0" w:name="Section1"/>
      <w:bookmarkEnd w:id="0"/>
      <w:r>
        <w:rPr>
          <w:strike w:val="0"/>
          <w:u w:val="none"/>
        </w:rPr>
        <w:drawing>
          <wp:inline>
            <wp:extent cx="1257300" cy="3238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45226" name=""/>
                    <pic:cNvPicPr>
                      <a:picLocks noChangeAspect="1"/>
                    </pic:cNvPicPr>
                  </pic:nvPicPr>
                  <pic:blipFill>
                    <a:blip xmlns:r="http://schemas.openxmlformats.org/officeDocument/2006/relationships" r:embed="rId4"/>
                    <a:stretch>
                      <a:fillRect/>
                    </a:stretch>
                  </pic:blipFill>
                  <pic:spPr>
                    <a:xfrm>
                      <a:off x="0" y="0"/>
                      <a:ext cx="1257300" cy="323850"/>
                    </a:xfrm>
                    <a:prstGeom prst="rect">
                      <a:avLst/>
                    </a:prstGeom>
                  </pic:spPr>
                </pic:pic>
              </a:graphicData>
            </a:graphic>
          </wp:inline>
        </w:drawing>
      </w:r>
    </w:p>
    <w:p>
      <w:pPr>
        <w:widowControl w:val="0"/>
        <w:spacing w:before="0" w:after="0"/>
        <w:rPr>
          <w:sz w:val="32"/>
          <w:szCs w:val="32"/>
        </w:rPr>
      </w:pPr>
      <w:r>
        <w:rPr>
          <w:rFonts w:ascii="Arial" w:eastAsia="Arial" w:hAnsi="Arial" w:cs="Arial"/>
          <w:sz w:val="32"/>
          <w:szCs w:val="32"/>
        </w:rPr>
        <w:t>News from Conduent</w:t>
      </w:r>
    </w:p>
    <w:p>
      <w:pPr>
        <w:widowControl w:val="0"/>
        <w:spacing w:before="0" w:after="0"/>
        <w:rPr>
          <w:rFonts w:ascii="Times New Roman" w:eastAsia="Times New Roman" w:hAnsi="Times New Roman" w:cs="Times New Roman"/>
        </w:rPr>
      </w:pPr>
    </w:p>
    <w:p>
      <w:pPr>
        <w:widowControl w:val="0"/>
        <w:spacing w:before="0" w:after="0"/>
        <w:rPr>
          <w:rFonts w:ascii="Times New Roman" w:eastAsia="Times New Roman" w:hAnsi="Times New Roman" w:cs="Times New Roman"/>
        </w:rPr>
      </w:pPr>
    </w:p>
    <w:tbl>
      <w:tblPr>
        <w:tblW w:w="2295" w:type="dxa"/>
        <w:jc w:val="right"/>
        <w:tblInd w:w="58" w:type="dxa"/>
        <w:tblCellMar>
          <w:top w:w="0" w:type="dxa"/>
          <w:left w:w="0" w:type="dxa"/>
          <w:bottom w:w="0" w:type="dxa"/>
          <w:right w:w="0" w:type="dxa"/>
        </w:tblCellMar>
      </w:tblPr>
      <w:tblGrid>
        <w:gridCol w:w="2295"/>
      </w:tblGrid>
      <w:tr>
        <w:tblPrEx>
          <w:tblW w:w="2295" w:type="dxa"/>
          <w:jc w:val="right"/>
          <w:tblInd w:w="58" w:type="dxa"/>
          <w:tblCellMar>
            <w:top w:w="0" w:type="dxa"/>
            <w:left w:w="0" w:type="dxa"/>
            <w:bottom w:w="0" w:type="dxa"/>
            <w:right w:w="0" w:type="dxa"/>
          </w:tblCellMar>
        </w:tblPrEx>
        <w:trPr>
          <w:trHeight w:hRule="exact" w:val="900"/>
          <w:jc w:val="right"/>
        </w:trPr>
        <w:tc>
          <w:tcPr>
            <w:tcW w:w="229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rPr>
            </w:pPr>
            <w:r>
              <w:rPr>
                <w:rFonts w:ascii="Arial" w:eastAsia="Arial" w:hAnsi="Arial" w:cs="Arial"/>
                <w:b w:val="0"/>
                <w:bCs w:val="0"/>
                <w:i w:val="0"/>
                <w:iCs w:val="0"/>
                <w:smallCaps w:val="0"/>
                <w:color w:val="000000"/>
                <w:sz w:val="16"/>
                <w:szCs w:val="16"/>
              </w:rPr>
              <w:t>Conduent Incorporated</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100 Campus Drive, Suite 200</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Florham Park, NJ 07932</w:t>
            </w:r>
          </w:p>
        </w:tc>
      </w:tr>
      <w:tr>
        <w:tblPrEx>
          <w:tblW w:w="2295" w:type="dxa"/>
          <w:jc w:val="right"/>
          <w:tblInd w:w="58" w:type="dxa"/>
          <w:tblCellMar>
            <w:top w:w="0" w:type="dxa"/>
            <w:left w:w="0" w:type="dxa"/>
            <w:bottom w:w="0" w:type="dxa"/>
            <w:right w:w="0" w:type="dxa"/>
          </w:tblCellMar>
        </w:tblPrEx>
        <w:trPr>
          <w:trHeight w:hRule="exact" w:val="255"/>
          <w:jc w:val="right"/>
        </w:trPr>
        <w:tc>
          <w:tcPr>
            <w:tcW w:w="229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www.conduent.com</w:t>
            </w:r>
          </w:p>
        </w:tc>
      </w:tr>
    </w:tbl>
    <w:p>
      <w:pPr>
        <w:widowControl w:val="0"/>
        <w:spacing w:before="120" w:after="0"/>
        <w:rPr>
          <w:rFonts w:ascii="Times New Roman" w:eastAsia="Times New Roman" w:hAnsi="Times New Roman" w:cs="Times New Roman"/>
        </w:rPr>
      </w:pPr>
    </w:p>
    <w:p>
      <w:pPr>
        <w:spacing w:before="0" w:after="0" w:line="348" w:lineRule="auto"/>
        <w:rPr>
          <w:sz w:val="28"/>
          <w:szCs w:val="28"/>
        </w:rPr>
      </w:pPr>
      <w:r>
        <w:rPr>
          <w:rFonts w:ascii="Arial" w:eastAsia="Arial" w:hAnsi="Arial" w:cs="Arial"/>
          <w:b/>
          <w:bCs/>
          <w:sz w:val="28"/>
          <w:szCs w:val="28"/>
        </w:rPr>
        <w:t xml:space="preserve">Conduent Reports </w:t>
      </w:r>
      <w:r>
        <w:rPr>
          <w:rFonts w:ascii="Arial" w:eastAsia="Arial" w:hAnsi="Arial" w:cs="Arial"/>
          <w:b/>
          <w:bCs/>
          <w:sz w:val="28"/>
          <w:szCs w:val="28"/>
        </w:rPr>
        <w:t>Third</w:t>
      </w:r>
      <w:r>
        <w:rPr>
          <w:rFonts w:ascii="Arial" w:eastAsia="Arial" w:hAnsi="Arial" w:cs="Arial"/>
          <w:b/>
          <w:bCs/>
          <w:sz w:val="28"/>
          <w:szCs w:val="28"/>
        </w:rPr>
        <w:t xml:space="preserve"> Quarter </w:t>
      </w:r>
      <w:r>
        <w:rPr>
          <w:rFonts w:ascii="Arial" w:eastAsia="Arial" w:hAnsi="Arial" w:cs="Arial"/>
          <w:b/>
          <w:bCs/>
          <w:sz w:val="28"/>
          <w:szCs w:val="28"/>
        </w:rPr>
        <w:t>2019</w:t>
      </w:r>
      <w:r>
        <w:rPr>
          <w:rFonts w:ascii="Arial" w:eastAsia="Arial" w:hAnsi="Arial" w:cs="Arial"/>
          <w:b/>
          <w:bCs/>
          <w:sz w:val="28"/>
          <w:szCs w:val="28"/>
        </w:rPr>
        <w:t xml:space="preserve"> Results </w:t>
      </w:r>
    </w:p>
    <w:p>
      <w:pPr>
        <w:spacing w:before="0" w:after="0" w:line="463" w:lineRule="auto"/>
        <w:rPr>
          <w:sz w:val="22"/>
          <w:szCs w:val="22"/>
        </w:rPr>
      </w:pPr>
      <w:r>
        <w:rPr>
          <w:rFonts w:ascii="Arial" w:eastAsia="Arial" w:hAnsi="Arial" w:cs="Arial"/>
          <w:b/>
          <w:bCs/>
          <w:sz w:val="22"/>
          <w:szCs w:val="22"/>
          <w:u w:val="single"/>
        </w:rPr>
        <w:t>Key Quarterly Financial and Operational Highlights</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 xml:space="preserve">Revenue of </w:t>
      </w:r>
      <w:r>
        <w:rPr>
          <w:rFonts w:ascii="Arial" w:eastAsia="Arial" w:hAnsi="Arial" w:cs="Arial"/>
          <w:sz w:val="22"/>
          <w:szCs w:val="22"/>
        </w:rPr>
        <w:t>$1,098 million</w:t>
      </w:r>
      <w:r>
        <w:rPr>
          <w:rFonts w:ascii="Arial" w:eastAsia="Arial" w:hAnsi="Arial" w:cs="Arial"/>
          <w:sz w:val="22"/>
          <w:szCs w:val="22"/>
        </w:rPr>
        <w:t xml:space="preserve"> </w:t>
      </w:r>
      <w:r>
        <w:rPr>
          <w:rFonts w:ascii="Arial" w:eastAsia="Arial" w:hAnsi="Arial" w:cs="Arial"/>
          <w:sz w:val="22"/>
          <w:szCs w:val="22"/>
        </w:rPr>
        <w:t xml:space="preserve">down </w:t>
      </w:r>
      <w:r>
        <w:rPr>
          <w:rFonts w:ascii="Arial" w:eastAsia="Arial" w:hAnsi="Arial" w:cs="Arial"/>
          <w:sz w:val="22"/>
          <w:szCs w:val="22"/>
        </w:rPr>
        <w:t>(15.8)%</w:t>
      </w:r>
      <w:r>
        <w:rPr>
          <w:rFonts w:ascii="Arial" w:eastAsia="Arial" w:hAnsi="Arial" w:cs="Arial"/>
          <w:sz w:val="22"/>
          <w:szCs w:val="22"/>
        </w:rPr>
        <w:t xml:space="preserve"> compared to </w:t>
      </w:r>
      <w:r>
        <w:rPr>
          <w:rFonts w:ascii="Arial" w:eastAsia="Arial" w:hAnsi="Arial" w:cs="Arial"/>
          <w:sz w:val="22"/>
          <w:szCs w:val="22"/>
        </w:rPr>
        <w:t>Q3 2018</w:t>
      </w:r>
      <w:r>
        <w:rPr>
          <w:rFonts w:ascii="Arial" w:eastAsia="Arial" w:hAnsi="Arial" w:cs="Arial"/>
          <w:sz w:val="22"/>
          <w:szCs w:val="22"/>
        </w:rPr>
        <w:t>. Excluding divestitures</w:t>
      </w:r>
      <w:r>
        <w:rPr>
          <w:rFonts w:ascii="Arial" w:eastAsia="Arial" w:hAnsi="Arial" w:cs="Arial"/>
          <w:sz w:val="22"/>
          <w:szCs w:val="22"/>
        </w:rPr>
        <w:t>,</w:t>
      </w:r>
      <w:r>
        <w:rPr>
          <w:rFonts w:ascii="Arial" w:eastAsia="Arial" w:hAnsi="Arial" w:cs="Arial"/>
          <w:sz w:val="22"/>
          <w:szCs w:val="22"/>
        </w:rPr>
        <w:t xml:space="preserve"> revenue was down </w:t>
      </w:r>
      <w:r>
        <w:rPr>
          <w:rFonts w:ascii="Arial" w:eastAsia="Arial" w:hAnsi="Arial" w:cs="Arial"/>
          <w:sz w:val="22"/>
          <w:szCs w:val="22"/>
        </w:rPr>
        <w:t>(3.9)%</w:t>
      </w:r>
      <w:r>
        <w:rPr>
          <w:rFonts w:ascii="Arial" w:eastAsia="Arial" w:hAnsi="Arial" w:cs="Arial"/>
          <w:sz w:val="22"/>
          <w:szCs w:val="22"/>
        </w:rPr>
        <w:t xml:space="preserve"> compared with </w:t>
      </w:r>
      <w:r>
        <w:rPr>
          <w:rFonts w:ascii="Arial" w:eastAsia="Arial" w:hAnsi="Arial" w:cs="Arial"/>
          <w:sz w:val="22"/>
          <w:szCs w:val="22"/>
        </w:rPr>
        <w:t>Q3 2018</w:t>
      </w:r>
      <w:r>
        <w:rPr>
          <w:rFonts w:ascii="Arial" w:eastAsia="Arial" w:hAnsi="Arial" w:cs="Arial"/>
          <w:sz w:val="22"/>
          <w:szCs w:val="22"/>
        </w:rPr>
        <w:t xml:space="preserve"> or </w:t>
      </w:r>
      <w:r>
        <w:rPr>
          <w:rFonts w:ascii="Arial" w:eastAsia="Arial" w:hAnsi="Arial" w:cs="Arial"/>
          <w:sz w:val="22"/>
          <w:szCs w:val="22"/>
        </w:rPr>
        <w:t>(3.5)%</w:t>
      </w:r>
      <w:r>
        <w:rPr>
          <w:rFonts w:ascii="Arial" w:eastAsia="Arial" w:hAnsi="Arial" w:cs="Arial"/>
          <w:sz w:val="22"/>
          <w:szCs w:val="22"/>
        </w:rPr>
        <w:t xml:space="preserve"> in constant currency</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 xml:space="preserve">GAAP net income of </w:t>
      </w:r>
      <w:r>
        <w:rPr>
          <w:rFonts w:ascii="Arial" w:eastAsia="Arial" w:hAnsi="Arial" w:cs="Arial"/>
          <w:sz w:val="22"/>
          <w:szCs w:val="22"/>
        </w:rPr>
        <w:t>$(16) million</w:t>
      </w:r>
      <w:r>
        <w:rPr>
          <w:rFonts w:ascii="Arial" w:eastAsia="Arial" w:hAnsi="Arial" w:cs="Arial"/>
          <w:sz w:val="22"/>
          <w:szCs w:val="22"/>
        </w:rPr>
        <w:t xml:space="preserve"> compared to </w:t>
      </w:r>
      <w:r>
        <w:rPr>
          <w:rFonts w:ascii="Arial" w:eastAsia="Arial" w:hAnsi="Arial" w:cs="Arial"/>
          <w:sz w:val="22"/>
          <w:szCs w:val="22"/>
        </w:rPr>
        <w:t>$(237) million</w:t>
      </w:r>
      <w:r>
        <w:rPr>
          <w:rFonts w:ascii="Arial" w:eastAsia="Arial" w:hAnsi="Arial" w:cs="Arial"/>
          <w:sz w:val="22"/>
          <w:szCs w:val="22"/>
        </w:rPr>
        <w:t xml:space="preserve"> in </w:t>
      </w:r>
      <w:r>
        <w:rPr>
          <w:rFonts w:ascii="Arial" w:eastAsia="Arial" w:hAnsi="Arial" w:cs="Arial"/>
          <w:sz w:val="22"/>
          <w:szCs w:val="22"/>
        </w:rPr>
        <w:t>Q3 2018</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 xml:space="preserve">GAAP diluted EPS from continuing operations of </w:t>
      </w:r>
      <w:r>
        <w:rPr>
          <w:rFonts w:ascii="Arial" w:eastAsia="Arial" w:hAnsi="Arial" w:cs="Arial"/>
          <w:sz w:val="22"/>
          <w:szCs w:val="22"/>
        </w:rPr>
        <w:t>$(0.09)</w:t>
      </w:r>
      <w:r>
        <w:rPr>
          <w:rFonts w:ascii="Arial" w:eastAsia="Arial" w:hAnsi="Arial" w:cs="Arial"/>
          <w:sz w:val="22"/>
          <w:szCs w:val="22"/>
        </w:rPr>
        <w:t xml:space="preserve"> compared to</w:t>
      </w:r>
      <w:r>
        <w:rPr>
          <w:rFonts w:ascii="Arial" w:eastAsia="Arial" w:hAnsi="Arial" w:cs="Arial"/>
          <w:sz w:val="22"/>
          <w:szCs w:val="22"/>
        </w:rPr>
        <w:t xml:space="preserve"> </w:t>
      </w:r>
      <w:r>
        <w:rPr>
          <w:rFonts w:ascii="Arial" w:eastAsia="Arial" w:hAnsi="Arial" w:cs="Arial"/>
          <w:sz w:val="22"/>
          <w:szCs w:val="22"/>
        </w:rPr>
        <w:t>($1.16)</w:t>
      </w:r>
      <w:r>
        <w:rPr>
          <w:rFonts w:ascii="Arial" w:eastAsia="Arial" w:hAnsi="Arial" w:cs="Arial"/>
          <w:sz w:val="22"/>
          <w:szCs w:val="22"/>
        </w:rPr>
        <w:t xml:space="preserve"> </w:t>
      </w:r>
      <w:r>
        <w:rPr>
          <w:rFonts w:ascii="Arial" w:eastAsia="Arial" w:hAnsi="Arial" w:cs="Arial"/>
          <w:sz w:val="22"/>
          <w:szCs w:val="22"/>
        </w:rPr>
        <w:t xml:space="preserve">in </w:t>
      </w:r>
      <w:r>
        <w:rPr>
          <w:rFonts w:ascii="Arial" w:eastAsia="Arial" w:hAnsi="Arial" w:cs="Arial"/>
          <w:sz w:val="22"/>
          <w:szCs w:val="22"/>
        </w:rPr>
        <w:t>Q3 2018</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A</w:t>
      </w:r>
      <w:r>
        <w:rPr>
          <w:rFonts w:ascii="Arial" w:eastAsia="Arial" w:hAnsi="Arial" w:cs="Arial"/>
          <w:sz w:val="22"/>
          <w:szCs w:val="22"/>
        </w:rPr>
        <w:t xml:space="preserve">djusted diluted EPS from continuing operations of </w:t>
      </w:r>
      <w:r>
        <w:rPr>
          <w:rFonts w:ascii="Arial" w:eastAsia="Arial" w:hAnsi="Arial" w:cs="Arial"/>
          <w:sz w:val="22"/>
          <w:szCs w:val="22"/>
        </w:rPr>
        <w:t>$0.16</w:t>
      </w:r>
      <w:r>
        <w:rPr>
          <w:rFonts w:ascii="Arial" w:eastAsia="Arial" w:hAnsi="Arial" w:cs="Arial"/>
          <w:sz w:val="22"/>
          <w:szCs w:val="22"/>
        </w:rPr>
        <w:t xml:space="preserve"> compared to </w:t>
      </w:r>
      <w:r>
        <w:rPr>
          <w:rFonts w:ascii="Arial" w:eastAsia="Arial" w:hAnsi="Arial" w:cs="Arial"/>
          <w:sz w:val="22"/>
          <w:szCs w:val="22"/>
        </w:rPr>
        <w:t>$0.28</w:t>
      </w:r>
      <w:r>
        <w:rPr>
          <w:rFonts w:ascii="Arial" w:eastAsia="Arial" w:hAnsi="Arial" w:cs="Arial"/>
          <w:sz w:val="22"/>
          <w:szCs w:val="22"/>
        </w:rPr>
        <w:t xml:space="preserve"> in </w:t>
      </w:r>
      <w:r>
        <w:rPr>
          <w:rFonts w:ascii="Arial" w:eastAsia="Arial" w:hAnsi="Arial" w:cs="Arial"/>
          <w:sz w:val="22"/>
          <w:szCs w:val="22"/>
        </w:rPr>
        <w:t>Q3 2018</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 xml:space="preserve">Adjusted EBITDA of </w:t>
      </w:r>
      <w:r>
        <w:rPr>
          <w:rFonts w:ascii="Arial" w:eastAsia="Arial" w:hAnsi="Arial" w:cs="Arial"/>
          <w:sz w:val="22"/>
          <w:szCs w:val="22"/>
        </w:rPr>
        <w:t>$127 million</w:t>
      </w:r>
      <w:r>
        <w:rPr>
          <w:rFonts w:ascii="Arial" w:eastAsia="Arial" w:hAnsi="Arial" w:cs="Arial"/>
          <w:sz w:val="22"/>
          <w:szCs w:val="22"/>
        </w:rPr>
        <w:t xml:space="preserve">, down </w:t>
      </w:r>
      <w:r>
        <w:rPr>
          <w:rFonts w:ascii="Arial" w:eastAsia="Arial" w:hAnsi="Arial" w:cs="Arial"/>
          <w:sz w:val="22"/>
          <w:szCs w:val="22"/>
        </w:rPr>
        <w:t>(11)%</w:t>
      </w:r>
      <w:r>
        <w:rPr>
          <w:rFonts w:ascii="Arial" w:eastAsia="Arial" w:hAnsi="Arial" w:cs="Arial"/>
          <w:sz w:val="22"/>
          <w:szCs w:val="22"/>
        </w:rPr>
        <w:t xml:space="preserve"> Y/Y, excluding the impact from divestitures</w:t>
      </w:r>
      <w:r>
        <w:rPr>
          <w:rFonts w:ascii="Arial" w:eastAsia="Arial" w:hAnsi="Arial" w:cs="Arial"/>
          <w:sz w:val="22"/>
          <w:szCs w:val="22"/>
        </w:rPr>
        <w:t xml:space="preserve"> </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 xml:space="preserve">Total signings TCV </w:t>
      </w:r>
      <w:r>
        <w:rPr>
          <w:rFonts w:ascii="Arial" w:eastAsia="Arial" w:hAnsi="Arial" w:cs="Arial"/>
          <w:sz w:val="22"/>
          <w:szCs w:val="22"/>
        </w:rPr>
        <w:t>$746 million</w:t>
      </w:r>
      <w:r>
        <w:rPr>
          <w:rFonts w:ascii="Arial" w:eastAsia="Arial" w:hAnsi="Arial" w:cs="Arial"/>
          <w:sz w:val="22"/>
          <w:szCs w:val="22"/>
        </w:rPr>
        <w:t xml:space="preserve">, new business TCV signings </w:t>
      </w:r>
      <w:r>
        <w:rPr>
          <w:rFonts w:ascii="Arial" w:eastAsia="Arial" w:hAnsi="Arial" w:cs="Arial"/>
          <w:sz w:val="22"/>
          <w:szCs w:val="22"/>
        </w:rPr>
        <w:t>$234 million</w:t>
      </w:r>
      <w:r>
        <w:rPr>
          <w:rFonts w:ascii="Arial" w:eastAsia="Arial" w:hAnsi="Arial" w:cs="Arial"/>
          <w:sz w:val="22"/>
          <w:szCs w:val="22"/>
        </w:rPr>
        <w:t xml:space="preserve">  </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 xml:space="preserve">Strong renewal rate of </w:t>
      </w:r>
      <w:r>
        <w:rPr>
          <w:rFonts w:ascii="Arial" w:eastAsia="Arial" w:hAnsi="Arial" w:cs="Arial"/>
          <w:sz w:val="22"/>
          <w:szCs w:val="22"/>
        </w:rPr>
        <w:t>93%</w:t>
      </w:r>
      <w:r>
        <w:rPr>
          <w:rFonts w:ascii="Arial" w:eastAsia="Arial" w:hAnsi="Arial" w:cs="Arial"/>
          <w:sz w:val="22"/>
          <w:szCs w:val="22"/>
        </w:rPr>
        <w:t>,</w:t>
      </w:r>
      <w:r>
        <w:rPr>
          <w:rFonts w:ascii="Arial" w:eastAsia="Arial" w:hAnsi="Arial" w:cs="Arial"/>
          <w:sz w:val="22"/>
          <w:szCs w:val="22"/>
        </w:rPr>
        <w:t xml:space="preserve"> up </w:t>
      </w:r>
      <w:r>
        <w:rPr>
          <w:rFonts w:ascii="Arial" w:eastAsia="Arial" w:hAnsi="Arial" w:cs="Arial"/>
          <w:sz w:val="22"/>
          <w:szCs w:val="22"/>
        </w:rPr>
        <w:t>300 bps</w:t>
      </w:r>
      <w:r>
        <w:rPr>
          <w:rFonts w:ascii="Arial" w:eastAsia="Arial" w:hAnsi="Arial" w:cs="Arial"/>
          <w:sz w:val="22"/>
          <w:szCs w:val="22"/>
        </w:rPr>
        <w:t xml:space="preserve"> </w:t>
      </w:r>
      <w:r>
        <w:rPr>
          <w:rFonts w:ascii="Arial" w:eastAsia="Arial" w:hAnsi="Arial" w:cs="Arial"/>
          <w:sz w:val="22"/>
          <w:szCs w:val="22"/>
        </w:rPr>
        <w:t>Y/Y</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Reaff</w:t>
      </w:r>
      <w:r>
        <w:rPr>
          <w:rFonts w:ascii="Arial" w:eastAsia="Arial" w:hAnsi="Arial" w:cs="Arial"/>
          <w:sz w:val="22"/>
          <w:szCs w:val="22"/>
        </w:rPr>
        <w:t>irm</w:t>
      </w:r>
      <w:r>
        <w:rPr>
          <w:rFonts w:ascii="Arial" w:eastAsia="Arial" w:hAnsi="Arial" w:cs="Arial"/>
          <w:sz w:val="22"/>
          <w:szCs w:val="22"/>
        </w:rPr>
        <w:t>ing</w:t>
      </w:r>
      <w:r>
        <w:rPr>
          <w:rFonts w:ascii="Arial" w:eastAsia="Arial" w:hAnsi="Arial" w:cs="Arial"/>
          <w:sz w:val="22"/>
          <w:szCs w:val="22"/>
        </w:rPr>
        <w:t xml:space="preserve"> FY</w:t>
      </w:r>
      <w:r>
        <w:rPr>
          <w:rFonts w:ascii="Arial" w:eastAsia="Arial" w:hAnsi="Arial" w:cs="Arial"/>
          <w:sz w:val="22"/>
          <w:szCs w:val="22"/>
        </w:rPr>
        <w:t xml:space="preserve"> 2019 Revenue and Adj</w:t>
      </w:r>
      <w:r>
        <w:rPr>
          <w:rFonts w:ascii="Arial" w:eastAsia="Arial" w:hAnsi="Arial" w:cs="Arial"/>
          <w:sz w:val="22"/>
          <w:szCs w:val="22"/>
        </w:rPr>
        <w:t>usted EBITDA margin guidance ranges</w:t>
      </w:r>
    </w:p>
    <w:p>
      <w:pPr>
        <w:spacing w:before="0" w:after="0" w:line="348" w:lineRule="auto"/>
        <w:ind w:left="720" w:hanging="360"/>
        <w:rPr>
          <w:sz w:val="22"/>
          <w:szCs w:val="22"/>
        </w:rPr>
      </w:pPr>
      <w:r>
        <w:rPr>
          <w:rFonts w:ascii="Arial" w:eastAsia="Arial" w:hAnsi="Arial" w:cs="Arial"/>
          <w:sz w:val="22"/>
          <w:szCs w:val="22"/>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2"/>
          <w:szCs w:val="22"/>
        </w:rPr>
        <w:t>Ex</w:t>
      </w:r>
      <w:r>
        <w:rPr>
          <w:rFonts w:ascii="Arial" w:eastAsia="Arial" w:hAnsi="Arial" w:cs="Arial"/>
          <w:sz w:val="22"/>
          <w:szCs w:val="22"/>
        </w:rPr>
        <w:t>pect to complete c</w:t>
      </w:r>
      <w:r>
        <w:rPr>
          <w:rFonts w:ascii="Arial" w:eastAsia="Arial" w:hAnsi="Arial" w:cs="Arial"/>
          <w:sz w:val="22"/>
          <w:szCs w:val="22"/>
        </w:rPr>
        <w:t>omprehensive Strategic and Operational review</w:t>
      </w:r>
      <w:r>
        <w:rPr>
          <w:rFonts w:ascii="Arial" w:eastAsia="Arial" w:hAnsi="Arial" w:cs="Arial"/>
          <w:sz w:val="22"/>
          <w:szCs w:val="22"/>
        </w:rPr>
        <w:t xml:space="preserve"> </w:t>
      </w:r>
      <w:r>
        <w:rPr>
          <w:rFonts w:ascii="Arial" w:eastAsia="Arial" w:hAnsi="Arial" w:cs="Arial"/>
          <w:sz w:val="22"/>
          <w:szCs w:val="22"/>
        </w:rPr>
        <w:t>in late Q4 2019</w:t>
      </w:r>
      <w:r>
        <w:rPr>
          <w:rFonts w:ascii="Arial" w:eastAsia="Arial" w:hAnsi="Arial" w:cs="Arial"/>
          <w:sz w:val="22"/>
          <w:szCs w:val="22"/>
        </w:rPr>
        <w:t xml:space="preserve"> </w:t>
      </w:r>
      <w:r>
        <w:rPr>
          <w:rFonts w:ascii="Arial" w:eastAsia="Arial" w:hAnsi="Arial" w:cs="Arial"/>
          <w:sz w:val="22"/>
          <w:szCs w:val="22"/>
        </w:rPr>
        <w:t>or early Q1 2020</w:t>
      </w:r>
    </w:p>
    <w:p>
      <w:pPr>
        <w:spacing w:before="0" w:after="0" w:line="348" w:lineRule="auto"/>
        <w:rPr>
          <w:rFonts w:ascii="Times New Roman" w:eastAsia="Times New Roman" w:hAnsi="Times New Roman" w:cs="Times New Roman"/>
        </w:rPr>
      </w:pPr>
    </w:p>
    <w:p>
      <w:pPr>
        <w:spacing w:before="0" w:after="0" w:line="348" w:lineRule="auto"/>
        <w:rPr>
          <w:sz w:val="22"/>
          <w:szCs w:val="22"/>
        </w:rPr>
      </w:pPr>
      <w:r>
        <w:rPr>
          <w:rFonts w:ascii="Arial" w:eastAsia="Arial" w:hAnsi="Arial" w:cs="Arial"/>
          <w:sz w:val="22"/>
          <w:szCs w:val="22"/>
        </w:rPr>
        <w:t xml:space="preserve">FLORHAM PARK, NJ, </w:t>
      </w:r>
      <w:r>
        <w:rPr>
          <w:rFonts w:ascii="Arial" w:eastAsia="Arial" w:hAnsi="Arial" w:cs="Arial"/>
          <w:sz w:val="22"/>
          <w:szCs w:val="22"/>
        </w:rPr>
        <w:t>November</w:t>
      </w:r>
      <w:r>
        <w:rPr>
          <w:rFonts w:ascii="Arial" w:eastAsia="Arial" w:hAnsi="Arial" w:cs="Arial"/>
          <w:sz w:val="22"/>
          <w:szCs w:val="22"/>
        </w:rPr>
        <w:t> </w:t>
      </w:r>
      <w:r>
        <w:rPr>
          <w:rFonts w:ascii="Arial" w:eastAsia="Arial" w:hAnsi="Arial" w:cs="Arial"/>
          <w:sz w:val="22"/>
          <w:szCs w:val="22"/>
        </w:rPr>
        <w:t>6, 2019</w:t>
      </w:r>
      <w:r>
        <w:rPr>
          <w:rFonts w:ascii="Arial" w:eastAsia="Arial" w:hAnsi="Arial" w:cs="Arial"/>
          <w:sz w:val="22"/>
          <w:szCs w:val="22"/>
        </w:rPr>
        <w:t xml:space="preserve"> - Conduent (NYSE: CNDT), </w:t>
      </w:r>
      <w:r>
        <w:rPr>
          <w:rFonts w:ascii="Arial" w:eastAsia="Arial" w:hAnsi="Arial" w:cs="Arial"/>
          <w:sz w:val="22"/>
          <w:szCs w:val="22"/>
        </w:rPr>
        <w:t xml:space="preserve">a </w:t>
      </w:r>
      <w:r>
        <w:rPr>
          <w:rFonts w:ascii="Arial" w:eastAsia="Arial" w:hAnsi="Arial" w:cs="Arial"/>
          <w:sz w:val="22"/>
          <w:szCs w:val="22"/>
        </w:rPr>
        <w:t>service</w:t>
      </w:r>
      <w:r>
        <w:rPr>
          <w:rFonts w:ascii="Arial" w:eastAsia="Arial" w:hAnsi="Arial" w:cs="Arial"/>
          <w:sz w:val="22"/>
          <w:szCs w:val="22"/>
        </w:rPr>
        <w:t>s</w:t>
      </w:r>
      <w:r>
        <w:rPr>
          <w:rFonts w:ascii="Arial" w:eastAsia="Arial" w:hAnsi="Arial" w:cs="Arial"/>
          <w:sz w:val="22"/>
          <w:szCs w:val="22"/>
        </w:rPr>
        <w:t xml:space="preserve"> and solutions company</w:t>
      </w:r>
      <w:r>
        <w:rPr>
          <w:rFonts w:ascii="Arial" w:eastAsia="Arial" w:hAnsi="Arial" w:cs="Arial"/>
          <w:sz w:val="22"/>
          <w:szCs w:val="22"/>
        </w:rPr>
        <w:t xml:space="preserve">, today announced its </w:t>
      </w:r>
      <w:r>
        <w:rPr>
          <w:rFonts w:ascii="Arial" w:eastAsia="Arial" w:hAnsi="Arial" w:cs="Arial"/>
          <w:sz w:val="22"/>
          <w:szCs w:val="22"/>
        </w:rPr>
        <w:t>third</w:t>
      </w:r>
      <w:r>
        <w:rPr>
          <w:rFonts w:ascii="Arial" w:eastAsia="Arial" w:hAnsi="Arial" w:cs="Arial"/>
          <w:sz w:val="22"/>
          <w:szCs w:val="22"/>
        </w:rPr>
        <w:t xml:space="preserve"> quarter </w:t>
      </w:r>
      <w:r>
        <w:rPr>
          <w:rFonts w:ascii="Arial" w:eastAsia="Arial" w:hAnsi="Arial" w:cs="Arial"/>
          <w:sz w:val="22"/>
          <w:szCs w:val="22"/>
        </w:rPr>
        <w:t>2019</w:t>
      </w:r>
      <w:r>
        <w:rPr>
          <w:rFonts w:ascii="Arial" w:eastAsia="Arial" w:hAnsi="Arial" w:cs="Arial"/>
          <w:sz w:val="22"/>
          <w:szCs w:val="22"/>
        </w:rPr>
        <w:t xml:space="preserve"> financial results.</w:t>
      </w:r>
      <w:r>
        <w:rPr>
          <w:rFonts w:ascii="Arial" w:eastAsia="Arial" w:hAnsi="Arial" w:cs="Arial"/>
          <w:sz w:val="22"/>
          <w:szCs w:val="22"/>
        </w:rPr>
        <w:t xml:space="preserve">  </w:t>
      </w:r>
    </w:p>
    <w:p>
      <w:pPr>
        <w:spacing w:before="0" w:after="0" w:line="348" w:lineRule="auto"/>
        <w:rPr>
          <w:rFonts w:ascii="Times New Roman" w:eastAsia="Times New Roman" w:hAnsi="Times New Roman" w:cs="Times New Roman"/>
        </w:rPr>
      </w:pPr>
    </w:p>
    <w:p>
      <w:pPr>
        <w:spacing w:before="0" w:after="0" w:line="348" w:lineRule="auto"/>
        <w:rPr>
          <w:sz w:val="22"/>
          <w:szCs w:val="22"/>
        </w:rPr>
      </w:pPr>
      <w:r>
        <w:rPr>
          <w:rFonts w:ascii="Arial" w:eastAsia="Arial" w:hAnsi="Arial" w:cs="Arial"/>
          <w:sz w:val="22"/>
          <w:szCs w:val="22"/>
        </w:rPr>
        <w:t>"</w:t>
      </w:r>
      <w:r>
        <w:rPr>
          <w:rFonts w:ascii="Arial" w:eastAsia="Arial" w:hAnsi="Arial" w:cs="Arial"/>
          <w:sz w:val="22"/>
          <w:szCs w:val="22"/>
        </w:rPr>
        <w:t>Over the last 90 da</w:t>
      </w:r>
      <w:r>
        <w:rPr>
          <w:rFonts w:ascii="Arial" w:eastAsia="Arial" w:hAnsi="Arial" w:cs="Arial"/>
          <w:sz w:val="22"/>
          <w:szCs w:val="22"/>
        </w:rPr>
        <w:t>ys</w:t>
      </w:r>
      <w:r>
        <w:rPr>
          <w:rFonts w:ascii="Arial" w:eastAsia="Arial" w:hAnsi="Arial" w:cs="Arial"/>
          <w:sz w:val="22"/>
          <w:szCs w:val="22"/>
        </w:rPr>
        <w:t xml:space="preserve">, the </w:t>
      </w:r>
      <w:r>
        <w:rPr>
          <w:rFonts w:ascii="Arial" w:eastAsia="Arial" w:hAnsi="Arial" w:cs="Arial"/>
          <w:sz w:val="22"/>
          <w:szCs w:val="22"/>
        </w:rPr>
        <w:t>team</w:t>
      </w:r>
      <w:r>
        <w:rPr>
          <w:rFonts w:ascii="Arial" w:eastAsia="Arial" w:hAnsi="Arial" w:cs="Arial"/>
          <w:sz w:val="22"/>
          <w:szCs w:val="22"/>
        </w:rPr>
        <w:t xml:space="preserve"> has </w:t>
      </w:r>
      <w:r>
        <w:rPr>
          <w:rFonts w:ascii="Arial" w:eastAsia="Arial" w:hAnsi="Arial" w:cs="Arial"/>
          <w:sz w:val="22"/>
          <w:szCs w:val="22"/>
        </w:rPr>
        <w:t xml:space="preserve">started to build on the foundational work </w:t>
      </w:r>
      <w:r>
        <w:rPr>
          <w:rFonts w:ascii="Arial" w:eastAsia="Arial" w:hAnsi="Arial" w:cs="Arial"/>
          <w:sz w:val="22"/>
          <w:szCs w:val="22"/>
        </w:rPr>
        <w:t xml:space="preserve">that was </w:t>
      </w:r>
      <w:r>
        <w:rPr>
          <w:rFonts w:ascii="Arial" w:eastAsia="Arial" w:hAnsi="Arial" w:cs="Arial"/>
          <w:sz w:val="22"/>
          <w:szCs w:val="22"/>
        </w:rPr>
        <w:t>dev</w:t>
      </w:r>
      <w:r>
        <w:rPr>
          <w:rFonts w:ascii="Arial" w:eastAsia="Arial" w:hAnsi="Arial" w:cs="Arial"/>
          <w:sz w:val="22"/>
          <w:szCs w:val="22"/>
        </w:rPr>
        <w:t xml:space="preserve">eloped </w:t>
      </w:r>
      <w:r>
        <w:rPr>
          <w:rFonts w:ascii="Arial" w:eastAsia="Arial" w:hAnsi="Arial" w:cs="Arial"/>
          <w:sz w:val="22"/>
          <w:szCs w:val="22"/>
        </w:rPr>
        <w:t>over</w:t>
      </w:r>
      <w:r>
        <w:rPr>
          <w:rFonts w:ascii="Arial" w:eastAsia="Arial" w:hAnsi="Arial" w:cs="Arial"/>
          <w:sz w:val="22"/>
          <w:szCs w:val="22"/>
        </w:rPr>
        <w:t xml:space="preserve"> </w:t>
      </w:r>
      <w:r>
        <w:rPr>
          <w:rFonts w:ascii="Arial" w:eastAsia="Arial" w:hAnsi="Arial" w:cs="Arial"/>
          <w:sz w:val="22"/>
          <w:szCs w:val="22"/>
        </w:rPr>
        <w:t xml:space="preserve">the </w:t>
      </w:r>
      <w:r>
        <w:rPr>
          <w:rFonts w:ascii="Arial" w:eastAsia="Arial" w:hAnsi="Arial" w:cs="Arial"/>
          <w:sz w:val="22"/>
          <w:szCs w:val="22"/>
        </w:rPr>
        <w:t>past three years</w:t>
      </w:r>
      <w:r>
        <w:rPr>
          <w:rFonts w:ascii="Arial" w:eastAsia="Arial" w:hAnsi="Arial" w:cs="Arial"/>
          <w:sz w:val="22"/>
          <w:szCs w:val="22"/>
        </w:rPr>
        <w:t>,</w:t>
      </w:r>
      <w:r>
        <w:rPr>
          <w:rFonts w:ascii="Arial" w:eastAsia="Arial" w:hAnsi="Arial" w:cs="Arial"/>
          <w:sz w:val="22"/>
          <w:szCs w:val="22"/>
        </w:rPr>
        <w:t>"</w:t>
      </w:r>
      <w:r>
        <w:rPr>
          <w:rFonts w:ascii="Arial" w:eastAsia="Arial" w:hAnsi="Arial" w:cs="Arial"/>
          <w:sz w:val="22"/>
          <w:szCs w:val="22"/>
        </w:rPr>
        <w:t xml:space="preserve"> said</w:t>
      </w:r>
      <w:r>
        <w:rPr>
          <w:rFonts w:ascii="Arial" w:eastAsia="Arial" w:hAnsi="Arial" w:cs="Arial"/>
          <w:sz w:val="22"/>
          <w:szCs w:val="22"/>
        </w:rPr>
        <w:t xml:space="preserve"> Cond</w:t>
      </w:r>
      <w:r>
        <w:rPr>
          <w:rFonts w:ascii="Arial" w:eastAsia="Arial" w:hAnsi="Arial" w:cs="Arial"/>
          <w:sz w:val="22"/>
          <w:szCs w:val="22"/>
        </w:rPr>
        <w:t>u</w:t>
      </w:r>
      <w:r>
        <w:rPr>
          <w:rFonts w:ascii="Arial" w:eastAsia="Arial" w:hAnsi="Arial" w:cs="Arial"/>
          <w:sz w:val="22"/>
          <w:szCs w:val="22"/>
        </w:rPr>
        <w:t>e</w:t>
      </w:r>
      <w:r>
        <w:rPr>
          <w:rFonts w:ascii="Arial" w:eastAsia="Arial" w:hAnsi="Arial" w:cs="Arial"/>
          <w:sz w:val="22"/>
          <w:szCs w:val="22"/>
        </w:rPr>
        <w:t>nt CEO</w:t>
      </w:r>
      <w:r>
        <w:rPr>
          <w:rFonts w:ascii="Arial" w:eastAsia="Arial" w:hAnsi="Arial" w:cs="Arial"/>
          <w:sz w:val="22"/>
          <w:szCs w:val="22"/>
        </w:rPr>
        <w:t>, Cliff Skelton</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"While</w:t>
      </w:r>
      <w:r>
        <w:rPr>
          <w:rFonts w:ascii="Arial" w:eastAsia="Arial" w:hAnsi="Arial" w:cs="Arial"/>
          <w:sz w:val="22"/>
          <w:szCs w:val="22"/>
        </w:rPr>
        <w:t xml:space="preserve"> our</w:t>
      </w:r>
      <w:r>
        <w:rPr>
          <w:rFonts w:ascii="Arial" w:eastAsia="Arial" w:hAnsi="Arial" w:cs="Arial"/>
          <w:sz w:val="22"/>
          <w:szCs w:val="22"/>
        </w:rPr>
        <w:t xml:space="preserve"> </w:t>
      </w:r>
      <w:r>
        <w:rPr>
          <w:rFonts w:ascii="Arial" w:eastAsia="Arial" w:hAnsi="Arial" w:cs="Arial"/>
          <w:sz w:val="22"/>
          <w:szCs w:val="22"/>
        </w:rPr>
        <w:t>efforts</w:t>
      </w:r>
      <w:r>
        <w:rPr>
          <w:rFonts w:ascii="Arial" w:eastAsia="Arial" w:hAnsi="Arial" w:cs="Arial"/>
          <w:sz w:val="22"/>
          <w:szCs w:val="22"/>
        </w:rPr>
        <w:t xml:space="preserve"> o</w:t>
      </w:r>
      <w:r>
        <w:rPr>
          <w:rFonts w:ascii="Arial" w:eastAsia="Arial" w:hAnsi="Arial" w:cs="Arial"/>
          <w:sz w:val="22"/>
          <w:szCs w:val="22"/>
        </w:rPr>
        <w:t>n</w:t>
      </w:r>
      <w:r>
        <w:rPr>
          <w:rFonts w:ascii="Arial" w:eastAsia="Arial" w:hAnsi="Arial" w:cs="Arial"/>
          <w:sz w:val="22"/>
          <w:szCs w:val="22"/>
        </w:rPr>
        <w:t xml:space="preserve"> </w:t>
      </w:r>
      <w:r>
        <w:rPr>
          <w:rFonts w:ascii="Arial" w:eastAsia="Arial" w:hAnsi="Arial" w:cs="Arial"/>
          <w:sz w:val="22"/>
          <w:szCs w:val="22"/>
        </w:rPr>
        <w:t>growing</w:t>
      </w:r>
      <w:r>
        <w:rPr>
          <w:rFonts w:ascii="Arial" w:eastAsia="Arial" w:hAnsi="Arial" w:cs="Arial"/>
          <w:sz w:val="22"/>
          <w:szCs w:val="22"/>
        </w:rPr>
        <w:t xml:space="preserve"> new business signings </w:t>
      </w:r>
      <w:r>
        <w:rPr>
          <w:rFonts w:ascii="Arial" w:eastAsia="Arial" w:hAnsi="Arial" w:cs="Arial"/>
          <w:sz w:val="22"/>
          <w:szCs w:val="22"/>
        </w:rPr>
        <w:t xml:space="preserve">will not lead to immediate results, we are </w:t>
      </w:r>
      <w:r>
        <w:rPr>
          <w:rFonts w:ascii="Arial" w:eastAsia="Arial" w:hAnsi="Arial" w:cs="Arial"/>
          <w:sz w:val="22"/>
          <w:szCs w:val="22"/>
        </w:rPr>
        <w:t>focused</w:t>
      </w:r>
      <w:r>
        <w:rPr>
          <w:rFonts w:ascii="Arial" w:eastAsia="Arial" w:hAnsi="Arial" w:cs="Arial"/>
          <w:sz w:val="22"/>
          <w:szCs w:val="22"/>
        </w:rPr>
        <w:t xml:space="preserve"> on driving improvement in</w:t>
      </w:r>
      <w:r>
        <w:rPr>
          <w:rFonts w:ascii="Arial" w:eastAsia="Arial" w:hAnsi="Arial" w:cs="Arial"/>
          <w:sz w:val="22"/>
          <w:szCs w:val="22"/>
        </w:rPr>
        <w:t xml:space="preserve"> both sales and operational performance. </w:t>
      </w:r>
      <w:r>
        <w:rPr>
          <w:rFonts w:ascii="Arial" w:eastAsia="Arial" w:hAnsi="Arial" w:cs="Arial"/>
          <w:sz w:val="22"/>
          <w:szCs w:val="22"/>
        </w:rPr>
        <w:t>We hope to see the team's hard</w:t>
      </w:r>
      <w:r>
        <w:rPr>
          <w:rFonts w:ascii="Arial" w:eastAsia="Arial" w:hAnsi="Arial" w:cs="Arial"/>
          <w:sz w:val="22"/>
          <w:szCs w:val="22"/>
        </w:rPr>
        <w:t xml:space="preserve"> </w:t>
      </w:r>
      <w:r>
        <w:rPr>
          <w:rFonts w:ascii="Arial" w:eastAsia="Arial" w:hAnsi="Arial" w:cs="Arial"/>
          <w:sz w:val="22"/>
          <w:szCs w:val="22"/>
        </w:rPr>
        <w:t xml:space="preserve">work manifest </w:t>
      </w:r>
      <w:r>
        <w:rPr>
          <w:rFonts w:ascii="Arial" w:eastAsia="Arial" w:hAnsi="Arial" w:cs="Arial"/>
          <w:sz w:val="22"/>
          <w:szCs w:val="22"/>
        </w:rPr>
        <w:t xml:space="preserve">in our leading indicators in the </w:t>
      </w:r>
      <w:r>
        <w:rPr>
          <w:rFonts w:ascii="Arial" w:eastAsia="Arial" w:hAnsi="Arial" w:cs="Arial"/>
          <w:sz w:val="22"/>
          <w:szCs w:val="22"/>
        </w:rPr>
        <w:t>near-term</w:t>
      </w:r>
      <w:r>
        <w:rPr>
          <w:rFonts w:ascii="Arial" w:eastAsia="Arial" w:hAnsi="Arial" w:cs="Arial"/>
          <w:sz w:val="22"/>
          <w:szCs w:val="22"/>
        </w:rPr>
        <w:t>.</w:t>
      </w:r>
      <w:r>
        <w:rPr>
          <w:rFonts w:ascii="Arial" w:eastAsia="Arial" w:hAnsi="Arial" w:cs="Arial"/>
          <w:sz w:val="22"/>
          <w:szCs w:val="22"/>
        </w:rPr>
        <w:t>"</w:t>
      </w:r>
    </w:p>
    <w:p>
      <w:pPr>
        <w:spacing w:before="0" w:after="0" w:line="348" w:lineRule="auto"/>
        <w:rPr>
          <w:rFonts w:ascii="Times New Roman" w:eastAsia="Times New Roman" w:hAnsi="Times New Roman" w:cs="Times New Roman"/>
        </w:rPr>
      </w:pPr>
    </w:p>
    <w:p>
      <w:pPr>
        <w:spacing w:before="0" w:after="0" w:line="348" w:lineRule="auto"/>
        <w:rPr>
          <w:sz w:val="22"/>
          <w:szCs w:val="22"/>
        </w:rPr>
      </w:pPr>
      <w:r>
        <w:rPr>
          <w:rFonts w:ascii="Arial" w:eastAsia="Arial" w:hAnsi="Arial" w:cs="Arial"/>
          <w:sz w:val="22"/>
          <w:szCs w:val="22"/>
        </w:rPr>
        <w:t>"</w:t>
      </w:r>
      <w:r>
        <w:rPr>
          <w:rFonts w:ascii="Arial" w:eastAsia="Arial" w:hAnsi="Arial" w:cs="Arial"/>
          <w:sz w:val="22"/>
          <w:szCs w:val="22"/>
        </w:rPr>
        <w:t>I</w:t>
      </w:r>
      <w:r>
        <w:rPr>
          <w:rFonts w:ascii="Arial" w:eastAsia="Arial" w:hAnsi="Arial" w:cs="Arial"/>
          <w:sz w:val="22"/>
          <w:szCs w:val="22"/>
        </w:rPr>
        <w:t>n conjunction with our Board,</w:t>
      </w:r>
      <w:r>
        <w:rPr>
          <w:rFonts w:ascii="Arial" w:eastAsia="Arial" w:hAnsi="Arial" w:cs="Arial"/>
          <w:sz w:val="22"/>
          <w:szCs w:val="22"/>
        </w:rPr>
        <w:t xml:space="preserve"> </w:t>
      </w:r>
      <w:r>
        <w:rPr>
          <w:rFonts w:ascii="Arial" w:eastAsia="Arial" w:hAnsi="Arial" w:cs="Arial"/>
          <w:sz w:val="22"/>
          <w:szCs w:val="22"/>
        </w:rPr>
        <w:t>we</w:t>
      </w:r>
      <w:r>
        <w:rPr>
          <w:rFonts w:ascii="Arial" w:eastAsia="Arial" w:hAnsi="Arial" w:cs="Arial"/>
          <w:sz w:val="22"/>
          <w:szCs w:val="22"/>
        </w:rPr>
        <w:t xml:space="preserve"> </w:t>
      </w:r>
      <w:r>
        <w:rPr>
          <w:rFonts w:ascii="Arial" w:eastAsia="Arial" w:hAnsi="Arial" w:cs="Arial"/>
          <w:sz w:val="22"/>
          <w:szCs w:val="22"/>
        </w:rPr>
        <w:t>also</w:t>
      </w:r>
      <w:r>
        <w:rPr>
          <w:rFonts w:ascii="Arial" w:eastAsia="Arial" w:hAnsi="Arial" w:cs="Arial"/>
          <w:sz w:val="22"/>
          <w:szCs w:val="22"/>
        </w:rPr>
        <w:t xml:space="preserve"> are making progress </w:t>
      </w:r>
      <w:r>
        <w:rPr>
          <w:rFonts w:ascii="Arial" w:eastAsia="Arial" w:hAnsi="Arial" w:cs="Arial"/>
          <w:sz w:val="22"/>
          <w:szCs w:val="22"/>
        </w:rPr>
        <w:t xml:space="preserve">on the </w:t>
      </w:r>
      <w:r>
        <w:rPr>
          <w:rFonts w:ascii="Arial" w:eastAsia="Arial" w:hAnsi="Arial" w:cs="Arial"/>
          <w:sz w:val="22"/>
          <w:szCs w:val="22"/>
        </w:rPr>
        <w:t>strategic</w:t>
      </w:r>
      <w:r>
        <w:rPr>
          <w:rFonts w:ascii="Arial" w:eastAsia="Arial" w:hAnsi="Arial" w:cs="Arial"/>
          <w:sz w:val="22"/>
          <w:szCs w:val="22"/>
        </w:rPr>
        <w:t xml:space="preserve"> and operational review," Skelton continued. </w:t>
      </w:r>
      <w:r>
        <w:rPr>
          <w:rFonts w:ascii="Arial" w:eastAsia="Arial" w:hAnsi="Arial" w:cs="Arial"/>
          <w:sz w:val="22"/>
          <w:szCs w:val="22"/>
        </w:rPr>
        <w:t xml:space="preserve"> </w:t>
      </w:r>
      <w:r>
        <w:rPr>
          <w:rFonts w:ascii="Arial" w:eastAsia="Arial" w:hAnsi="Arial" w:cs="Arial"/>
          <w:sz w:val="22"/>
          <w:szCs w:val="22"/>
        </w:rPr>
        <w:t xml:space="preserve">"We anticipate completion of the review </w:t>
      </w:r>
      <w:r>
        <w:rPr>
          <w:rFonts w:ascii="Arial" w:eastAsia="Arial" w:hAnsi="Arial" w:cs="Arial"/>
          <w:sz w:val="22"/>
          <w:szCs w:val="22"/>
        </w:rPr>
        <w:t>in late Q4 2019 or early Q1 2020</w:t>
      </w:r>
      <w:r>
        <w:rPr>
          <w:rFonts w:ascii="Arial" w:eastAsia="Arial" w:hAnsi="Arial" w:cs="Arial"/>
          <w:sz w:val="22"/>
          <w:szCs w:val="22"/>
        </w:rPr>
        <w:t xml:space="preserve"> and would aim to be</w:t>
      </w:r>
      <w:r>
        <w:rPr>
          <w:rFonts w:ascii="Arial" w:eastAsia="Arial" w:hAnsi="Arial" w:cs="Arial"/>
          <w:sz w:val="22"/>
          <w:szCs w:val="22"/>
        </w:rPr>
        <w:t>gin taking action on</w:t>
      </w:r>
      <w:r>
        <w:rPr>
          <w:rFonts w:ascii="Arial" w:eastAsia="Arial" w:hAnsi="Arial" w:cs="Arial"/>
          <w:sz w:val="22"/>
          <w:szCs w:val="22"/>
        </w:rPr>
        <w:t xml:space="preserve"> </w:t>
      </w:r>
      <w:r>
        <w:rPr>
          <w:rFonts w:ascii="Arial" w:eastAsia="Arial" w:hAnsi="Arial" w:cs="Arial"/>
          <w:sz w:val="22"/>
          <w:szCs w:val="22"/>
        </w:rPr>
        <w:t xml:space="preserve">any potential </w:t>
      </w:r>
      <w:r>
        <w:rPr>
          <w:rFonts w:ascii="Arial" w:eastAsia="Arial" w:hAnsi="Arial" w:cs="Arial"/>
          <w:sz w:val="22"/>
          <w:szCs w:val="22"/>
        </w:rPr>
        <w:t>d</w:t>
      </w:r>
      <w:r>
        <w:rPr>
          <w:rFonts w:ascii="Arial" w:eastAsia="Arial" w:hAnsi="Arial" w:cs="Arial"/>
          <w:sz w:val="22"/>
          <w:szCs w:val="22"/>
        </w:rPr>
        <w:t>ivestiture</w:t>
      </w:r>
      <w:r>
        <w:rPr>
          <w:rFonts w:ascii="Arial" w:eastAsia="Arial" w:hAnsi="Arial" w:cs="Arial"/>
          <w:sz w:val="22"/>
          <w:szCs w:val="22"/>
        </w:rPr>
        <w:t xml:space="preserve">s in </w:t>
      </w:r>
      <w:r>
        <w:rPr>
          <w:rFonts w:ascii="Arial" w:eastAsia="Arial" w:hAnsi="Arial" w:cs="Arial"/>
          <w:sz w:val="22"/>
          <w:szCs w:val="22"/>
        </w:rPr>
        <w:t>t</w:t>
      </w:r>
      <w:r>
        <w:rPr>
          <w:rFonts w:ascii="Arial" w:eastAsia="Arial" w:hAnsi="Arial" w:cs="Arial"/>
          <w:sz w:val="22"/>
          <w:szCs w:val="22"/>
        </w:rPr>
        <w:t>he first half of</w:t>
      </w:r>
      <w:r>
        <w:rPr>
          <w:rFonts w:ascii="Arial" w:eastAsia="Arial" w:hAnsi="Arial" w:cs="Arial"/>
          <w:sz w:val="22"/>
          <w:szCs w:val="22"/>
        </w:rPr>
        <w:t xml:space="preserve"> 2020. </w:t>
      </w:r>
      <w:r>
        <w:rPr>
          <w:rFonts w:ascii="Arial" w:eastAsia="Arial" w:hAnsi="Arial" w:cs="Arial"/>
          <w:sz w:val="22"/>
          <w:szCs w:val="22"/>
        </w:rPr>
        <w:t>The</w:t>
      </w:r>
      <w:r>
        <w:rPr>
          <w:rFonts w:ascii="Arial" w:eastAsia="Arial" w:hAnsi="Arial" w:cs="Arial"/>
          <w:sz w:val="22"/>
          <w:szCs w:val="22"/>
        </w:rPr>
        <w:t xml:space="preserve"> focus</w:t>
      </w:r>
      <w:r>
        <w:rPr>
          <w:rFonts w:ascii="Arial" w:eastAsia="Arial" w:hAnsi="Arial" w:cs="Arial"/>
          <w:sz w:val="22"/>
          <w:szCs w:val="22"/>
        </w:rPr>
        <w:t xml:space="preserve"> </w:t>
      </w:r>
      <w:r>
        <w:rPr>
          <w:rFonts w:ascii="Arial" w:eastAsia="Arial" w:hAnsi="Arial" w:cs="Arial"/>
          <w:sz w:val="22"/>
          <w:szCs w:val="22"/>
        </w:rPr>
        <w:t>of</w:t>
      </w:r>
      <w:r>
        <w:rPr>
          <w:rFonts w:ascii="Arial" w:eastAsia="Arial" w:hAnsi="Arial" w:cs="Arial"/>
          <w:sz w:val="22"/>
          <w:szCs w:val="22"/>
        </w:rPr>
        <w:t xml:space="preserve"> this review is </w:t>
      </w:r>
      <w:r>
        <w:rPr>
          <w:rFonts w:ascii="Arial" w:eastAsia="Arial" w:hAnsi="Arial" w:cs="Arial"/>
          <w:sz w:val="22"/>
          <w:szCs w:val="22"/>
        </w:rPr>
        <w:t xml:space="preserve">to </w:t>
      </w:r>
      <w:r>
        <w:rPr>
          <w:rFonts w:ascii="Arial" w:eastAsia="Arial" w:hAnsi="Arial" w:cs="Arial"/>
          <w:sz w:val="22"/>
          <w:szCs w:val="22"/>
        </w:rPr>
        <w:t>create</w:t>
      </w:r>
      <w:r>
        <w:rPr>
          <w:rFonts w:ascii="Arial" w:eastAsia="Arial" w:hAnsi="Arial" w:cs="Arial"/>
          <w:sz w:val="22"/>
          <w:szCs w:val="22"/>
        </w:rPr>
        <w:t xml:space="preserve"> shareholder value by looking at potentially divesting ass</w:t>
      </w:r>
      <w:r>
        <w:rPr>
          <w:rFonts w:ascii="Arial" w:eastAsia="Arial" w:hAnsi="Arial" w:cs="Arial"/>
          <w:sz w:val="22"/>
          <w:szCs w:val="22"/>
        </w:rPr>
        <w:t xml:space="preserve">ets </w:t>
      </w:r>
      <w:r>
        <w:rPr>
          <w:rFonts w:ascii="Arial" w:eastAsia="Arial" w:hAnsi="Arial" w:cs="Arial"/>
          <w:sz w:val="22"/>
          <w:szCs w:val="22"/>
        </w:rPr>
        <w:t xml:space="preserve">that </w:t>
      </w:r>
      <w:r>
        <w:rPr>
          <w:rFonts w:ascii="Arial" w:eastAsia="Arial" w:hAnsi="Arial" w:cs="Arial"/>
          <w:sz w:val="22"/>
          <w:szCs w:val="22"/>
        </w:rPr>
        <w:t xml:space="preserve">we believe </w:t>
      </w:r>
      <w:r>
        <w:rPr>
          <w:rFonts w:ascii="Arial" w:eastAsia="Arial" w:hAnsi="Arial" w:cs="Arial"/>
          <w:sz w:val="22"/>
          <w:szCs w:val="22"/>
        </w:rPr>
        <w:t>have a s</w:t>
      </w:r>
      <w:r>
        <w:rPr>
          <w:rFonts w:ascii="Arial" w:eastAsia="Arial" w:hAnsi="Arial" w:cs="Arial"/>
          <w:sz w:val="22"/>
          <w:szCs w:val="22"/>
        </w:rPr>
        <w:t>carcity value in the</w:t>
      </w:r>
      <w:r>
        <w:rPr>
          <w:rFonts w:ascii="Arial" w:eastAsia="Arial" w:hAnsi="Arial" w:cs="Arial"/>
          <w:sz w:val="22"/>
          <w:szCs w:val="22"/>
        </w:rPr>
        <w:t xml:space="preserve"> market</w:t>
      </w:r>
      <w:r>
        <w:rPr>
          <w:rFonts w:ascii="Arial" w:eastAsia="Arial" w:hAnsi="Arial" w:cs="Arial"/>
          <w:sz w:val="22"/>
          <w:szCs w:val="22"/>
        </w:rPr>
        <w:t xml:space="preserve"> and</w:t>
      </w:r>
      <w:r>
        <w:rPr>
          <w:rFonts w:ascii="Arial" w:eastAsia="Arial" w:hAnsi="Arial" w:cs="Arial"/>
          <w:sz w:val="22"/>
          <w:szCs w:val="22"/>
        </w:rPr>
        <w:t xml:space="preserve"> potentially may</w:t>
      </w:r>
      <w:r>
        <w:rPr>
          <w:rFonts w:ascii="Arial" w:eastAsia="Arial" w:hAnsi="Arial" w:cs="Arial"/>
          <w:sz w:val="22"/>
          <w:szCs w:val="22"/>
        </w:rPr>
        <w:t xml:space="preserve"> command a premium, while </w:t>
      </w:r>
      <w:r>
        <w:rPr>
          <w:rFonts w:ascii="Arial" w:eastAsia="Arial" w:hAnsi="Arial" w:cs="Arial"/>
          <w:sz w:val="22"/>
          <w:szCs w:val="22"/>
        </w:rPr>
        <w:t xml:space="preserve">seeking to </w:t>
      </w:r>
      <w:r>
        <w:rPr>
          <w:rFonts w:ascii="Arial" w:eastAsia="Arial" w:hAnsi="Arial" w:cs="Arial"/>
          <w:sz w:val="22"/>
          <w:szCs w:val="22"/>
        </w:rPr>
        <w:t>simplify</w:t>
      </w:r>
      <w:r>
        <w:rPr>
          <w:rFonts w:ascii="Arial" w:eastAsia="Arial" w:hAnsi="Arial" w:cs="Arial"/>
          <w:sz w:val="22"/>
          <w:szCs w:val="22"/>
        </w:rPr>
        <w:t xml:space="preserve"> </w:t>
      </w:r>
      <w:r>
        <w:rPr>
          <w:rFonts w:ascii="Arial" w:eastAsia="Arial" w:hAnsi="Arial" w:cs="Arial"/>
          <w:sz w:val="22"/>
          <w:szCs w:val="22"/>
        </w:rPr>
        <w:t>the remaining</w:t>
      </w:r>
      <w:r>
        <w:rPr>
          <w:rFonts w:ascii="Arial" w:eastAsia="Arial" w:hAnsi="Arial" w:cs="Arial"/>
          <w:sz w:val="22"/>
          <w:szCs w:val="22"/>
        </w:rPr>
        <w:t xml:space="preserve"> </w:t>
      </w:r>
      <w:r>
        <w:rPr>
          <w:rFonts w:ascii="Arial" w:eastAsia="Arial" w:hAnsi="Arial" w:cs="Arial"/>
          <w:sz w:val="22"/>
          <w:szCs w:val="22"/>
        </w:rPr>
        <w:t>c</w:t>
      </w:r>
      <w:r>
        <w:rPr>
          <w:rFonts w:ascii="Arial" w:eastAsia="Arial" w:hAnsi="Arial" w:cs="Arial"/>
          <w:sz w:val="22"/>
          <w:szCs w:val="22"/>
        </w:rPr>
        <w:t>o</w:t>
      </w:r>
      <w:r>
        <w:rPr>
          <w:rFonts w:ascii="Arial" w:eastAsia="Arial" w:hAnsi="Arial" w:cs="Arial"/>
          <w:sz w:val="22"/>
          <w:szCs w:val="22"/>
        </w:rPr>
        <w:t>mpany</w:t>
      </w:r>
      <w:r>
        <w:rPr>
          <w:rFonts w:ascii="Arial" w:eastAsia="Arial" w:hAnsi="Arial" w:cs="Arial"/>
          <w:sz w:val="22"/>
          <w:szCs w:val="22"/>
        </w:rPr>
        <w:t xml:space="preserve"> </w:t>
      </w:r>
      <w:r>
        <w:rPr>
          <w:rFonts w:ascii="Arial" w:eastAsia="Arial" w:hAnsi="Arial" w:cs="Arial"/>
          <w:sz w:val="22"/>
          <w:szCs w:val="22"/>
        </w:rPr>
        <w:t>t</w:t>
      </w:r>
      <w:r>
        <w:rPr>
          <w:rFonts w:ascii="Arial" w:eastAsia="Arial" w:hAnsi="Arial" w:cs="Arial"/>
          <w:sz w:val="22"/>
          <w:szCs w:val="22"/>
        </w:rPr>
        <w:t>o</w:t>
      </w:r>
      <w:r>
        <w:rPr>
          <w:rFonts w:ascii="Arial" w:eastAsia="Arial" w:hAnsi="Arial" w:cs="Arial"/>
          <w:sz w:val="22"/>
          <w:szCs w:val="22"/>
        </w:rPr>
        <w:t xml:space="preserve"> take advantage of </w:t>
      </w:r>
      <w:r>
        <w:rPr>
          <w:rFonts w:ascii="Arial" w:eastAsia="Arial" w:hAnsi="Arial" w:cs="Arial"/>
          <w:sz w:val="22"/>
          <w:szCs w:val="22"/>
        </w:rPr>
        <w:t>strong market opportunit</w:t>
      </w:r>
      <w:r>
        <w:rPr>
          <w:rFonts w:ascii="Arial" w:eastAsia="Arial" w:hAnsi="Arial" w:cs="Arial"/>
          <w:sz w:val="22"/>
          <w:szCs w:val="22"/>
        </w:rPr>
        <w:t>ies</w:t>
      </w:r>
      <w:r>
        <w:rPr>
          <w:rFonts w:ascii="Arial" w:eastAsia="Arial" w:hAnsi="Arial" w:cs="Arial"/>
          <w:sz w:val="22"/>
          <w:szCs w:val="22"/>
        </w:rPr>
        <w:t xml:space="preserve"> and gro</w:t>
      </w:r>
      <w:r>
        <w:rPr>
          <w:rFonts w:ascii="Arial" w:eastAsia="Arial" w:hAnsi="Arial" w:cs="Arial"/>
          <w:sz w:val="22"/>
          <w:szCs w:val="22"/>
        </w:rPr>
        <w:t>w</w:t>
      </w:r>
      <w:r>
        <w:rPr>
          <w:rFonts w:ascii="Arial" w:eastAsia="Arial" w:hAnsi="Arial" w:cs="Arial"/>
          <w:sz w:val="22"/>
          <w:szCs w:val="22"/>
        </w:rPr>
        <w:t>th pr</w:t>
      </w:r>
      <w:r>
        <w:rPr>
          <w:rFonts w:ascii="Arial" w:eastAsia="Arial" w:hAnsi="Arial" w:cs="Arial"/>
          <w:sz w:val="22"/>
          <w:szCs w:val="22"/>
        </w:rPr>
        <w:t xml:space="preserve">ospects." </w:t>
      </w:r>
      <w:r>
        <w:rPr>
          <w:rFonts w:ascii="Arial" w:eastAsia="Arial" w:hAnsi="Arial" w:cs="Arial"/>
          <w:sz w:val="22"/>
          <w:szCs w:val="22"/>
        </w:rPr>
        <w:t xml:space="preserve"> </w:t>
      </w:r>
    </w:p>
    <w:p>
      <w:pPr>
        <w:spacing w:before="0" w:after="0" w:line="348" w:lineRule="auto"/>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b/>
          <w:bCs/>
          <w:sz w:val="22"/>
          <w:szCs w:val="22"/>
        </w:rPr>
        <w:t>Third</w:t>
      </w:r>
      <w:r>
        <w:rPr>
          <w:rFonts w:ascii="Arial" w:eastAsia="Arial" w:hAnsi="Arial" w:cs="Arial"/>
          <w:b/>
          <w:bCs/>
          <w:sz w:val="22"/>
          <w:szCs w:val="22"/>
        </w:rPr>
        <w:t xml:space="preserve"> Quarter </w:t>
      </w:r>
      <w:r>
        <w:rPr>
          <w:rFonts w:ascii="Arial" w:eastAsia="Arial" w:hAnsi="Arial" w:cs="Arial"/>
          <w:b/>
          <w:bCs/>
          <w:sz w:val="22"/>
          <w:szCs w:val="22"/>
        </w:rPr>
        <w:t>2019</w:t>
      </w:r>
      <w:r>
        <w:rPr>
          <w:rFonts w:ascii="Arial" w:eastAsia="Arial" w:hAnsi="Arial" w:cs="Arial"/>
          <w:b/>
          <w:bCs/>
          <w:sz w:val="22"/>
          <w:szCs w:val="22"/>
        </w:rPr>
        <w:t xml:space="preserve"> Results</w:t>
      </w:r>
    </w:p>
    <w:p>
      <w:pPr>
        <w:keepNext/>
        <w:keepLines/>
        <w:widowControl w:val="0"/>
        <w:spacing w:before="0" w:after="0"/>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Third</w:t>
      </w:r>
      <w:r>
        <w:rPr>
          <w:rFonts w:ascii="Arial" w:eastAsia="Arial" w:hAnsi="Arial" w:cs="Arial"/>
          <w:sz w:val="22"/>
          <w:szCs w:val="22"/>
        </w:rPr>
        <w:t xml:space="preserve"> quarter </w:t>
      </w:r>
      <w:r>
        <w:rPr>
          <w:rFonts w:ascii="Arial" w:eastAsia="Arial" w:hAnsi="Arial" w:cs="Arial"/>
          <w:sz w:val="22"/>
          <w:szCs w:val="22"/>
        </w:rPr>
        <w:t>2019</w:t>
      </w:r>
      <w:r>
        <w:rPr>
          <w:rFonts w:ascii="Arial" w:eastAsia="Arial" w:hAnsi="Arial" w:cs="Arial"/>
          <w:sz w:val="22"/>
          <w:szCs w:val="22"/>
        </w:rPr>
        <w:t xml:space="preserve"> revenue was </w:t>
      </w:r>
      <w:r>
        <w:rPr>
          <w:rFonts w:ascii="Arial" w:eastAsia="Arial" w:hAnsi="Arial" w:cs="Arial"/>
          <w:sz w:val="22"/>
          <w:szCs w:val="22"/>
        </w:rPr>
        <w:t>$1,098 million</w:t>
      </w:r>
      <w:r>
        <w:rPr>
          <w:rFonts w:ascii="Arial" w:eastAsia="Arial" w:hAnsi="Arial" w:cs="Arial"/>
          <w:sz w:val="22"/>
          <w:szCs w:val="22"/>
        </w:rPr>
        <w:t xml:space="preserve">, down </w:t>
      </w:r>
      <w:r>
        <w:rPr>
          <w:rFonts w:ascii="Arial" w:eastAsia="Arial" w:hAnsi="Arial" w:cs="Arial"/>
          <w:sz w:val="22"/>
          <w:szCs w:val="22"/>
        </w:rPr>
        <w:t>(15.8)%</w:t>
      </w:r>
      <w:r>
        <w:rPr>
          <w:rFonts w:ascii="Arial" w:eastAsia="Arial" w:hAnsi="Arial" w:cs="Arial"/>
          <w:sz w:val="22"/>
          <w:szCs w:val="22"/>
        </w:rPr>
        <w:t xml:space="preserve"> compared to </w:t>
      </w:r>
      <w:r>
        <w:rPr>
          <w:rFonts w:ascii="Arial" w:eastAsia="Arial" w:hAnsi="Arial" w:cs="Arial"/>
          <w:sz w:val="22"/>
          <w:szCs w:val="22"/>
        </w:rPr>
        <w:t>Q3 2018</w:t>
      </w:r>
      <w:r>
        <w:rPr>
          <w:rFonts w:ascii="Arial" w:eastAsia="Arial" w:hAnsi="Arial" w:cs="Arial"/>
          <w:sz w:val="22"/>
          <w:szCs w:val="22"/>
        </w:rPr>
        <w:t xml:space="preserve">. Excluding divestitures completed in 2018, revenue was down </w:t>
      </w:r>
      <w:r>
        <w:rPr>
          <w:rFonts w:ascii="Arial" w:eastAsia="Arial" w:hAnsi="Arial" w:cs="Arial"/>
          <w:sz w:val="22"/>
          <w:szCs w:val="22"/>
        </w:rPr>
        <w:t>(3.9)%</w:t>
      </w:r>
      <w:r>
        <w:rPr>
          <w:rFonts w:ascii="Arial" w:eastAsia="Arial" w:hAnsi="Arial" w:cs="Arial"/>
          <w:sz w:val="22"/>
          <w:szCs w:val="22"/>
        </w:rPr>
        <w:t xml:space="preserve"> compared with </w:t>
      </w:r>
      <w:r>
        <w:rPr>
          <w:rFonts w:ascii="Arial" w:eastAsia="Arial" w:hAnsi="Arial" w:cs="Arial"/>
          <w:sz w:val="22"/>
          <w:szCs w:val="22"/>
        </w:rPr>
        <w:t>Q3 2018</w:t>
      </w:r>
      <w:r>
        <w:rPr>
          <w:rFonts w:ascii="Arial" w:eastAsia="Arial" w:hAnsi="Arial" w:cs="Arial"/>
          <w:sz w:val="22"/>
          <w:szCs w:val="22"/>
        </w:rPr>
        <w:t xml:space="preserve"> or </w:t>
      </w:r>
      <w:r>
        <w:rPr>
          <w:rFonts w:ascii="Arial" w:eastAsia="Arial" w:hAnsi="Arial" w:cs="Arial"/>
          <w:sz w:val="22"/>
          <w:szCs w:val="22"/>
        </w:rPr>
        <w:t>(3.5)%</w:t>
      </w:r>
      <w:r>
        <w:rPr>
          <w:rFonts w:ascii="Arial" w:eastAsia="Arial" w:hAnsi="Arial" w:cs="Arial"/>
          <w:sz w:val="22"/>
          <w:szCs w:val="22"/>
        </w:rPr>
        <w:t xml:space="preserve"> in constant currency.</w:t>
      </w:r>
    </w:p>
    <w:p>
      <w:pPr>
        <w:keepNext/>
        <w:keepLines/>
        <w:widowControl w:val="0"/>
        <w:spacing w:before="0" w:after="0" w:line="348" w:lineRule="auto"/>
        <w:rPr>
          <w:rFonts w:ascii="Times New Roman" w:eastAsia="Times New Roman" w:hAnsi="Times New Roman" w:cs="Times New Roman"/>
        </w:rPr>
      </w:pPr>
    </w:p>
    <w:p>
      <w:pPr>
        <w:keepLines/>
        <w:widowControl w:val="0"/>
        <w:spacing w:before="0" w:after="0" w:line="348" w:lineRule="auto"/>
        <w:rPr>
          <w:sz w:val="22"/>
          <w:szCs w:val="22"/>
        </w:rPr>
      </w:pPr>
      <w:r>
        <w:rPr>
          <w:rFonts w:ascii="Arial" w:eastAsia="Arial" w:hAnsi="Arial" w:cs="Arial"/>
          <w:sz w:val="22"/>
          <w:szCs w:val="22"/>
        </w:rPr>
        <w:t xml:space="preserve">Pre-tax income was </w:t>
      </w:r>
      <w:r>
        <w:rPr>
          <w:rFonts w:ascii="Arial" w:eastAsia="Arial" w:hAnsi="Arial" w:cs="Arial"/>
          <w:sz w:val="22"/>
          <w:szCs w:val="22"/>
        </w:rPr>
        <w:t>$(14) million</w:t>
      </w:r>
      <w:r>
        <w:rPr>
          <w:rFonts w:ascii="Arial" w:eastAsia="Arial" w:hAnsi="Arial" w:cs="Arial"/>
          <w:sz w:val="22"/>
          <w:szCs w:val="22"/>
        </w:rPr>
        <w:t xml:space="preserve"> compared to </w:t>
      </w:r>
      <w:r>
        <w:rPr>
          <w:rFonts w:ascii="Arial" w:eastAsia="Arial" w:hAnsi="Arial" w:cs="Arial"/>
          <w:sz w:val="22"/>
          <w:szCs w:val="22"/>
        </w:rPr>
        <w:t>$(252) million</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GAAP operating margin as reported was </w:t>
      </w:r>
      <w:r>
        <w:rPr>
          <w:rFonts w:ascii="Arial" w:eastAsia="Arial" w:hAnsi="Arial" w:cs="Arial"/>
          <w:sz w:val="22"/>
          <w:szCs w:val="22"/>
        </w:rPr>
        <w:t>(1.3)%</w:t>
      </w:r>
      <w:r>
        <w:rPr>
          <w:rFonts w:ascii="Arial" w:eastAsia="Arial" w:hAnsi="Arial" w:cs="Arial"/>
          <w:sz w:val="22"/>
          <w:szCs w:val="22"/>
        </w:rPr>
        <w:t xml:space="preserve"> compared to </w:t>
      </w:r>
      <w:r>
        <w:rPr>
          <w:rFonts w:ascii="Arial" w:eastAsia="Arial" w:hAnsi="Arial" w:cs="Arial"/>
          <w:sz w:val="22"/>
          <w:szCs w:val="22"/>
        </w:rPr>
        <w:t>(19.3)%</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 xml:space="preserve">. The company reported </w:t>
      </w:r>
      <w:r>
        <w:rPr>
          <w:rFonts w:ascii="Arial" w:eastAsia="Arial" w:hAnsi="Arial" w:cs="Arial"/>
          <w:sz w:val="22"/>
          <w:szCs w:val="22"/>
        </w:rPr>
        <w:t>Q3 2019</w:t>
      </w:r>
      <w:r>
        <w:rPr>
          <w:rFonts w:ascii="Arial" w:eastAsia="Arial" w:hAnsi="Arial" w:cs="Arial"/>
          <w:sz w:val="22"/>
          <w:szCs w:val="22"/>
        </w:rPr>
        <w:t xml:space="preserve"> GAAP net income of </w:t>
      </w:r>
      <w:r>
        <w:rPr>
          <w:rFonts w:ascii="Arial" w:eastAsia="Arial" w:hAnsi="Arial" w:cs="Arial"/>
          <w:sz w:val="22"/>
          <w:szCs w:val="22"/>
        </w:rPr>
        <w:t>$(16) million</w:t>
      </w:r>
      <w:r>
        <w:rPr>
          <w:rFonts w:ascii="Arial" w:eastAsia="Arial" w:hAnsi="Arial" w:cs="Arial"/>
          <w:sz w:val="22"/>
          <w:szCs w:val="22"/>
        </w:rPr>
        <w:t xml:space="preserve"> compared to </w:t>
      </w:r>
      <w:r>
        <w:rPr>
          <w:rFonts w:ascii="Arial" w:eastAsia="Arial" w:hAnsi="Arial" w:cs="Arial"/>
          <w:sz w:val="22"/>
          <w:szCs w:val="22"/>
        </w:rPr>
        <w:t>$(237) million</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 xml:space="preserve">. Diluted EPS from continuing operations was </w:t>
      </w:r>
      <w:r>
        <w:rPr>
          <w:rFonts w:ascii="Arial" w:eastAsia="Arial" w:hAnsi="Arial" w:cs="Arial"/>
          <w:sz w:val="22"/>
          <w:szCs w:val="22"/>
        </w:rPr>
        <w:t>($0.09)</w:t>
      </w:r>
      <w:r>
        <w:rPr>
          <w:rFonts w:ascii="Arial" w:eastAsia="Arial" w:hAnsi="Arial" w:cs="Arial"/>
          <w:sz w:val="22"/>
          <w:szCs w:val="22"/>
        </w:rPr>
        <w:t xml:space="preserve"> versus </w:t>
      </w:r>
      <w:r>
        <w:rPr>
          <w:rFonts w:ascii="Arial" w:eastAsia="Arial" w:hAnsi="Arial" w:cs="Arial"/>
          <w:sz w:val="22"/>
          <w:szCs w:val="22"/>
        </w:rPr>
        <w:t>($1.16)</w:t>
      </w:r>
      <w:r>
        <w:rPr>
          <w:rFonts w:ascii="Arial" w:eastAsia="Arial" w:hAnsi="Arial" w:cs="Arial"/>
          <w:sz w:val="22"/>
          <w:szCs w:val="22"/>
        </w:rPr>
        <w:t xml:space="preserve"> in the same period last year</w:t>
      </w:r>
      <w:r>
        <w:rPr>
          <w:rFonts w:ascii="Arial" w:eastAsia="Arial" w:hAnsi="Arial" w:cs="Arial"/>
          <w:sz w:val="22"/>
          <w:szCs w:val="22"/>
        </w:rPr>
        <w:t xml:space="preserve">. </w:t>
      </w:r>
      <w:r>
        <w:rPr>
          <w:rFonts w:ascii="Arial" w:eastAsia="Arial" w:hAnsi="Arial" w:cs="Arial"/>
          <w:sz w:val="22"/>
          <w:szCs w:val="22"/>
        </w:rPr>
        <w:t xml:space="preserve"> </w:t>
      </w:r>
    </w:p>
    <w:p>
      <w:pPr>
        <w:keepLines/>
        <w:widowControl w:val="0"/>
        <w:spacing w:before="0" w:after="0" w:line="348" w:lineRule="auto"/>
        <w:rPr>
          <w:rFonts w:ascii="Times New Roman" w:eastAsia="Times New Roman" w:hAnsi="Times New Roman" w:cs="Times New Roman"/>
        </w:rPr>
      </w:pPr>
    </w:p>
    <w:p>
      <w:pPr>
        <w:keepLines/>
        <w:widowControl w:val="0"/>
        <w:spacing w:before="0" w:after="0" w:line="348" w:lineRule="auto"/>
        <w:rPr>
          <w:sz w:val="22"/>
          <w:szCs w:val="22"/>
        </w:rPr>
      </w:pPr>
      <w:r>
        <w:rPr>
          <w:rFonts w:ascii="Arial" w:eastAsia="Arial" w:hAnsi="Arial" w:cs="Arial"/>
          <w:sz w:val="22"/>
          <w:szCs w:val="22"/>
        </w:rPr>
        <w:t>Third</w:t>
      </w:r>
      <w:r>
        <w:rPr>
          <w:rFonts w:ascii="Arial" w:eastAsia="Arial" w:hAnsi="Arial" w:cs="Arial"/>
          <w:sz w:val="22"/>
          <w:szCs w:val="22"/>
        </w:rPr>
        <w:t xml:space="preserve"> quarter adjusted operating income was </w:t>
      </w:r>
      <w:r>
        <w:rPr>
          <w:rFonts w:ascii="Arial" w:eastAsia="Arial" w:hAnsi="Arial" w:cs="Arial"/>
          <w:sz w:val="22"/>
          <w:szCs w:val="22"/>
        </w:rPr>
        <w:t>$72 million</w:t>
      </w:r>
      <w:r>
        <w:rPr>
          <w:rFonts w:ascii="Arial" w:eastAsia="Arial" w:hAnsi="Arial" w:cs="Arial"/>
          <w:sz w:val="22"/>
          <w:szCs w:val="22"/>
        </w:rPr>
        <w:t xml:space="preserve">, with an adjusted operating margin of </w:t>
      </w:r>
      <w:r>
        <w:rPr>
          <w:rFonts w:ascii="Arial" w:eastAsia="Arial" w:hAnsi="Arial" w:cs="Arial"/>
          <w:sz w:val="22"/>
          <w:szCs w:val="22"/>
        </w:rPr>
        <w:t>6.6%</w:t>
      </w:r>
      <w:r>
        <w:rPr>
          <w:rFonts w:ascii="Arial" w:eastAsia="Arial" w:hAnsi="Arial" w:cs="Arial"/>
          <w:sz w:val="22"/>
          <w:szCs w:val="22"/>
        </w:rPr>
        <w:t xml:space="preserve"> as compared to adjusted operating income of </w:t>
      </w:r>
      <w:r>
        <w:rPr>
          <w:rFonts w:ascii="Arial" w:eastAsia="Arial" w:hAnsi="Arial" w:cs="Arial"/>
          <w:sz w:val="22"/>
          <w:szCs w:val="22"/>
        </w:rPr>
        <w:t>$104 million</w:t>
      </w:r>
      <w:r>
        <w:rPr>
          <w:rFonts w:ascii="Arial" w:eastAsia="Arial" w:hAnsi="Arial" w:cs="Arial"/>
          <w:sz w:val="22"/>
          <w:szCs w:val="22"/>
        </w:rPr>
        <w:t xml:space="preserve">, with an adjusted operating margin of </w:t>
      </w:r>
      <w:r>
        <w:rPr>
          <w:rFonts w:ascii="Arial" w:eastAsia="Arial" w:hAnsi="Arial" w:cs="Arial"/>
          <w:sz w:val="22"/>
          <w:szCs w:val="22"/>
        </w:rPr>
        <w:t>8.0%</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Adjusted EBITDA was </w:t>
      </w:r>
      <w:r>
        <w:rPr>
          <w:rFonts w:ascii="Arial" w:eastAsia="Arial" w:hAnsi="Arial" w:cs="Arial"/>
          <w:sz w:val="22"/>
          <w:szCs w:val="22"/>
        </w:rPr>
        <w:t>$127 million</w:t>
      </w:r>
      <w:r>
        <w:rPr>
          <w:rFonts w:ascii="Arial" w:eastAsia="Arial" w:hAnsi="Arial" w:cs="Arial"/>
          <w:sz w:val="22"/>
          <w:szCs w:val="22"/>
        </w:rPr>
        <w:t xml:space="preserve">, with an adjusted EBITDA margin of </w:t>
      </w:r>
      <w:r>
        <w:rPr>
          <w:rFonts w:ascii="Arial" w:eastAsia="Arial" w:hAnsi="Arial" w:cs="Arial"/>
          <w:sz w:val="22"/>
          <w:szCs w:val="22"/>
        </w:rPr>
        <w:t>11.6%</w:t>
      </w:r>
      <w:r>
        <w:rPr>
          <w:rFonts w:ascii="Arial" w:eastAsia="Arial" w:hAnsi="Arial" w:cs="Arial"/>
          <w:sz w:val="22"/>
          <w:szCs w:val="22"/>
        </w:rPr>
        <w:t xml:space="preserve">, as compared to </w:t>
      </w:r>
      <w:r>
        <w:rPr>
          <w:rFonts w:ascii="Arial" w:eastAsia="Arial" w:hAnsi="Arial" w:cs="Arial"/>
          <w:sz w:val="22"/>
          <w:szCs w:val="22"/>
        </w:rPr>
        <w:t>$157 million</w:t>
      </w:r>
      <w:r>
        <w:rPr>
          <w:rFonts w:ascii="Arial" w:eastAsia="Arial" w:hAnsi="Arial" w:cs="Arial"/>
          <w:sz w:val="22"/>
          <w:szCs w:val="22"/>
        </w:rPr>
        <w:t xml:space="preserve">, with an adjusted EBITDA margin of </w:t>
      </w:r>
      <w:r>
        <w:rPr>
          <w:rFonts w:ascii="Arial" w:eastAsia="Arial" w:hAnsi="Arial" w:cs="Arial"/>
          <w:sz w:val="22"/>
          <w:szCs w:val="22"/>
        </w:rPr>
        <w:t>12.0%</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Further adjusting for the impact of all divestitures, Adjusted EBITDA declined </w:t>
      </w:r>
      <w:r>
        <w:rPr>
          <w:rFonts w:ascii="Arial" w:eastAsia="Arial" w:hAnsi="Arial" w:cs="Arial"/>
          <w:sz w:val="22"/>
          <w:szCs w:val="22"/>
        </w:rPr>
        <w:t>(10.6)%</w:t>
      </w:r>
      <w:r>
        <w:rPr>
          <w:rFonts w:ascii="Arial" w:eastAsia="Arial" w:hAnsi="Arial" w:cs="Arial"/>
          <w:sz w:val="22"/>
          <w:szCs w:val="22"/>
        </w:rPr>
        <w:t xml:space="preserve"> compared with </w:t>
      </w:r>
      <w:r>
        <w:rPr>
          <w:rFonts w:ascii="Arial" w:eastAsia="Arial" w:hAnsi="Arial" w:cs="Arial"/>
          <w:sz w:val="22"/>
          <w:szCs w:val="22"/>
        </w:rPr>
        <w:t>Q3 2018</w:t>
      </w:r>
      <w:r>
        <w:rPr>
          <w:rFonts w:ascii="Arial" w:eastAsia="Arial" w:hAnsi="Arial" w:cs="Arial"/>
          <w:sz w:val="22"/>
          <w:szCs w:val="22"/>
        </w:rPr>
        <w:t xml:space="preserve"> while adjusted EBITDA margin decreased </w:t>
      </w:r>
      <w:r>
        <w:rPr>
          <w:rFonts w:ascii="Arial" w:eastAsia="Arial" w:hAnsi="Arial" w:cs="Arial"/>
          <w:sz w:val="22"/>
          <w:szCs w:val="22"/>
        </w:rPr>
        <w:t>(80) bps</w:t>
      </w:r>
      <w:r>
        <w:rPr>
          <w:rFonts w:ascii="Arial" w:eastAsia="Arial" w:hAnsi="Arial" w:cs="Arial"/>
          <w:sz w:val="22"/>
          <w:szCs w:val="22"/>
        </w:rPr>
        <w:t xml:space="preserve">. </w:t>
      </w:r>
    </w:p>
    <w:p>
      <w:pPr>
        <w:keepLines/>
        <w:widowControl w:val="0"/>
        <w:spacing w:before="0" w:after="0" w:line="348" w:lineRule="auto"/>
        <w:rPr>
          <w:rFonts w:ascii="Times New Roman" w:eastAsia="Times New Roman" w:hAnsi="Times New Roman" w:cs="Times New Roman"/>
        </w:rPr>
      </w:pPr>
    </w:p>
    <w:p>
      <w:pPr>
        <w:keepLines/>
        <w:widowControl w:val="0"/>
        <w:spacing w:before="0" w:after="0" w:line="348" w:lineRule="auto"/>
        <w:rPr>
          <w:sz w:val="22"/>
          <w:szCs w:val="22"/>
        </w:rPr>
      </w:pPr>
      <w:r>
        <w:rPr>
          <w:rFonts w:ascii="Arial" w:eastAsia="Arial" w:hAnsi="Arial" w:cs="Arial"/>
          <w:sz w:val="22"/>
          <w:szCs w:val="22"/>
        </w:rPr>
        <w:t xml:space="preserve">The company reported adjusted diluted EPS from continuing operations of </w:t>
      </w:r>
      <w:r>
        <w:rPr>
          <w:rFonts w:ascii="Arial" w:eastAsia="Arial" w:hAnsi="Arial" w:cs="Arial"/>
          <w:sz w:val="22"/>
          <w:szCs w:val="22"/>
        </w:rPr>
        <w:t>$0.16</w:t>
      </w:r>
      <w:r>
        <w:rPr>
          <w:rFonts w:ascii="Arial" w:eastAsia="Arial" w:hAnsi="Arial" w:cs="Arial"/>
          <w:sz w:val="22"/>
          <w:szCs w:val="22"/>
        </w:rPr>
        <w:t xml:space="preserve"> compared to </w:t>
      </w:r>
      <w:r>
        <w:rPr>
          <w:rFonts w:ascii="Arial" w:eastAsia="Arial" w:hAnsi="Arial" w:cs="Arial"/>
          <w:sz w:val="22"/>
          <w:szCs w:val="22"/>
        </w:rPr>
        <w:t>$0.28</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 xml:space="preserve">. </w:t>
      </w:r>
    </w:p>
    <w:p>
      <w:pPr>
        <w:spacing w:before="0" w:after="0"/>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 xml:space="preserve">Conduent had cash </w:t>
      </w:r>
      <w:r>
        <w:rPr>
          <w:rFonts w:ascii="Arial" w:eastAsia="Arial" w:hAnsi="Arial" w:cs="Arial"/>
          <w:sz w:val="22"/>
          <w:szCs w:val="22"/>
        </w:rPr>
        <w:t>in</w:t>
      </w:r>
      <w:r>
        <w:rPr>
          <w:rFonts w:ascii="Arial" w:eastAsia="Arial" w:hAnsi="Arial" w:cs="Arial"/>
          <w:sz w:val="22"/>
          <w:szCs w:val="22"/>
        </w:rPr>
        <w:t xml:space="preserve">flow from operations of </w:t>
      </w:r>
      <w:r>
        <w:rPr>
          <w:rFonts w:ascii="Arial" w:eastAsia="Arial" w:hAnsi="Arial" w:cs="Arial"/>
          <w:sz w:val="22"/>
          <w:szCs w:val="22"/>
        </w:rPr>
        <w:t>$18 million</w:t>
      </w:r>
      <w:r>
        <w:rPr>
          <w:rFonts w:ascii="Arial" w:eastAsia="Arial" w:hAnsi="Arial" w:cs="Arial"/>
          <w:sz w:val="22"/>
          <w:szCs w:val="22"/>
        </w:rPr>
        <w:t xml:space="preserve"> during the </w:t>
      </w:r>
      <w:r>
        <w:rPr>
          <w:rFonts w:ascii="Arial" w:eastAsia="Arial" w:hAnsi="Arial" w:cs="Arial"/>
          <w:sz w:val="22"/>
          <w:szCs w:val="22"/>
        </w:rPr>
        <w:t>third</w:t>
      </w:r>
      <w:r>
        <w:rPr>
          <w:rFonts w:ascii="Arial" w:eastAsia="Arial" w:hAnsi="Arial" w:cs="Arial"/>
          <w:sz w:val="22"/>
          <w:szCs w:val="22"/>
        </w:rPr>
        <w:t xml:space="preserve"> quarter of </w:t>
      </w:r>
      <w:r>
        <w:rPr>
          <w:rFonts w:ascii="Arial" w:eastAsia="Arial" w:hAnsi="Arial" w:cs="Arial"/>
          <w:sz w:val="22"/>
          <w:szCs w:val="22"/>
        </w:rPr>
        <w:t>2019</w:t>
      </w:r>
      <w:r>
        <w:rPr>
          <w:rFonts w:ascii="Arial" w:eastAsia="Arial" w:hAnsi="Arial" w:cs="Arial"/>
          <w:sz w:val="22"/>
          <w:szCs w:val="22"/>
        </w:rPr>
        <w:t xml:space="preserve"> compared to </w:t>
      </w:r>
      <w:r>
        <w:rPr>
          <w:rFonts w:ascii="Arial" w:eastAsia="Arial" w:hAnsi="Arial" w:cs="Arial"/>
          <w:sz w:val="22"/>
          <w:szCs w:val="22"/>
        </w:rPr>
        <w:t xml:space="preserve">cash outflows of </w:t>
      </w:r>
      <w:r>
        <w:rPr>
          <w:rFonts w:ascii="Arial" w:eastAsia="Arial" w:hAnsi="Arial" w:cs="Arial"/>
          <w:sz w:val="22"/>
          <w:szCs w:val="22"/>
        </w:rPr>
        <w:t>$(30) million</w:t>
      </w:r>
      <w:r>
        <w:rPr>
          <w:rFonts w:ascii="Arial" w:eastAsia="Arial" w:hAnsi="Arial" w:cs="Arial"/>
          <w:sz w:val="22"/>
          <w:szCs w:val="22"/>
        </w:rPr>
        <w:t xml:space="preserve"> in </w:t>
      </w:r>
      <w:r>
        <w:rPr>
          <w:rFonts w:ascii="Arial" w:eastAsia="Arial" w:hAnsi="Arial" w:cs="Arial"/>
          <w:sz w:val="22"/>
          <w:szCs w:val="22"/>
        </w:rPr>
        <w:t>Q3 2018</w:t>
      </w:r>
      <w:r>
        <w:rPr>
          <w:rFonts w:ascii="Arial" w:eastAsia="Arial" w:hAnsi="Arial" w:cs="Arial"/>
          <w:sz w:val="22"/>
          <w:szCs w:val="22"/>
        </w:rPr>
        <w:t>.</w:t>
      </w:r>
    </w:p>
    <w:p>
      <w:pPr>
        <w:spacing w:before="0" w:after="0" w:line="348" w:lineRule="auto"/>
        <w:rPr>
          <w:sz w:val="22"/>
          <w:szCs w:val="22"/>
        </w:rPr>
      </w:pPr>
      <w:r>
        <w:rPr>
          <w:rFonts w:ascii="Arial" w:eastAsia="Arial" w:hAnsi="Arial" w:cs="Arial"/>
          <w:sz w:val="22"/>
          <w:szCs w:val="22"/>
        </w:rPr>
        <w:t> </w:t>
      </w:r>
    </w:p>
    <w:p>
      <w:pPr>
        <w:spacing w:before="0" w:after="0" w:line="348" w:lineRule="auto"/>
        <w:rPr>
          <w:sz w:val="22"/>
          <w:szCs w:val="22"/>
        </w:rPr>
      </w:pPr>
      <w:r>
        <w:rPr>
          <w:rFonts w:ascii="Arial" w:eastAsia="Arial" w:hAnsi="Arial" w:cs="Arial"/>
          <w:sz w:val="22"/>
          <w:szCs w:val="22"/>
        </w:rPr>
        <w:t>T</w:t>
      </w:r>
      <w:r>
        <w:rPr>
          <w:rFonts w:ascii="Arial" w:eastAsia="Arial" w:hAnsi="Arial" w:cs="Arial"/>
          <w:sz w:val="22"/>
          <w:szCs w:val="22"/>
        </w:rPr>
        <w:t xml:space="preserve">otal contract value (TCV) signings of </w:t>
      </w:r>
      <w:r>
        <w:rPr>
          <w:rFonts w:ascii="Arial" w:eastAsia="Arial" w:hAnsi="Arial" w:cs="Arial"/>
          <w:sz w:val="22"/>
          <w:szCs w:val="22"/>
        </w:rPr>
        <w:t>$746 million</w:t>
      </w:r>
      <w:r>
        <w:rPr>
          <w:rFonts w:ascii="Arial" w:eastAsia="Arial" w:hAnsi="Arial" w:cs="Arial"/>
          <w:sz w:val="22"/>
          <w:szCs w:val="22"/>
        </w:rPr>
        <w:t xml:space="preserve"> for the quarter were </w:t>
      </w:r>
      <w:r>
        <w:rPr>
          <w:rFonts w:ascii="Arial" w:eastAsia="Arial" w:hAnsi="Arial" w:cs="Arial"/>
          <w:sz w:val="22"/>
          <w:szCs w:val="22"/>
        </w:rPr>
        <w:t>up</w:t>
      </w:r>
      <w:r>
        <w:rPr>
          <w:rFonts w:ascii="Arial" w:eastAsia="Arial" w:hAnsi="Arial" w:cs="Arial"/>
          <w:sz w:val="22"/>
          <w:szCs w:val="22"/>
        </w:rPr>
        <w:t xml:space="preserve"> </w:t>
      </w:r>
      <w:r>
        <w:rPr>
          <w:rFonts w:ascii="Arial" w:eastAsia="Arial" w:hAnsi="Arial" w:cs="Arial"/>
          <w:sz w:val="22"/>
          <w:szCs w:val="22"/>
        </w:rPr>
        <w:t>1.0%</w:t>
      </w:r>
      <w:r>
        <w:rPr>
          <w:rFonts w:ascii="Arial" w:eastAsia="Arial" w:hAnsi="Arial" w:cs="Arial"/>
          <w:sz w:val="22"/>
          <w:szCs w:val="22"/>
        </w:rPr>
        <w:t xml:space="preserve"> compared with </w:t>
      </w:r>
      <w:r>
        <w:rPr>
          <w:rFonts w:ascii="Arial" w:eastAsia="Arial" w:hAnsi="Arial" w:cs="Arial"/>
          <w:sz w:val="22"/>
          <w:szCs w:val="22"/>
        </w:rPr>
        <w:t>Q3 2018</w:t>
      </w:r>
      <w:r>
        <w:rPr>
          <w:rFonts w:ascii="Arial" w:eastAsia="Arial" w:hAnsi="Arial" w:cs="Arial"/>
          <w:sz w:val="22"/>
          <w:szCs w:val="22"/>
        </w:rPr>
        <w:t>, due</w:t>
      </w:r>
      <w:r>
        <w:rPr>
          <w:rFonts w:ascii="Arial" w:eastAsia="Arial" w:hAnsi="Arial" w:cs="Arial"/>
          <w:sz w:val="22"/>
          <w:szCs w:val="22"/>
        </w:rPr>
        <w:t xml:space="preserve"> to a</w:t>
      </w:r>
      <w:r>
        <w:rPr>
          <w:rFonts w:ascii="Arial" w:eastAsia="Arial" w:hAnsi="Arial" w:cs="Arial"/>
          <w:sz w:val="22"/>
          <w:szCs w:val="22"/>
        </w:rPr>
        <w:t>n</w:t>
      </w:r>
      <w:r>
        <w:rPr>
          <w:rFonts w:ascii="Arial" w:eastAsia="Arial" w:hAnsi="Arial" w:cs="Arial"/>
          <w:sz w:val="22"/>
          <w:szCs w:val="22"/>
        </w:rPr>
        <w:t xml:space="preserve"> </w:t>
      </w:r>
      <w:r>
        <w:rPr>
          <w:rFonts w:ascii="Arial" w:eastAsia="Arial" w:hAnsi="Arial" w:cs="Arial"/>
          <w:sz w:val="22"/>
          <w:szCs w:val="22"/>
        </w:rPr>
        <w:t>(11.0)%</w:t>
      </w:r>
      <w:r>
        <w:rPr>
          <w:rFonts w:ascii="Arial" w:eastAsia="Arial" w:hAnsi="Arial" w:cs="Arial"/>
          <w:sz w:val="22"/>
          <w:szCs w:val="22"/>
        </w:rPr>
        <w:t xml:space="preserve"> </w:t>
      </w:r>
      <w:r>
        <w:rPr>
          <w:rFonts w:ascii="Arial" w:eastAsia="Arial" w:hAnsi="Arial" w:cs="Arial"/>
          <w:sz w:val="22"/>
          <w:szCs w:val="22"/>
        </w:rPr>
        <w:t>decrease</w:t>
      </w:r>
      <w:r>
        <w:rPr>
          <w:rFonts w:ascii="Arial" w:eastAsia="Arial" w:hAnsi="Arial" w:cs="Arial"/>
          <w:sz w:val="22"/>
          <w:szCs w:val="22"/>
        </w:rPr>
        <w:t xml:space="preserve"> in new business </w:t>
      </w:r>
      <w:r>
        <w:rPr>
          <w:rFonts w:ascii="Arial" w:eastAsia="Arial" w:hAnsi="Arial" w:cs="Arial"/>
          <w:sz w:val="22"/>
          <w:szCs w:val="22"/>
        </w:rPr>
        <w:t xml:space="preserve">signings </w:t>
      </w:r>
      <w:r>
        <w:rPr>
          <w:rFonts w:ascii="Arial" w:eastAsia="Arial" w:hAnsi="Arial" w:cs="Arial"/>
          <w:sz w:val="22"/>
          <w:szCs w:val="22"/>
        </w:rPr>
        <w:t xml:space="preserve">and </w:t>
      </w:r>
      <w:r>
        <w:rPr>
          <w:rFonts w:ascii="Arial" w:eastAsia="Arial" w:hAnsi="Arial" w:cs="Arial"/>
          <w:sz w:val="22"/>
          <w:szCs w:val="22"/>
        </w:rPr>
        <w:t>an</w:t>
      </w:r>
      <w:r>
        <w:rPr>
          <w:rFonts w:ascii="Arial" w:eastAsia="Arial" w:hAnsi="Arial" w:cs="Arial"/>
          <w:sz w:val="22"/>
          <w:szCs w:val="22"/>
        </w:rPr>
        <w:t xml:space="preserve"> </w:t>
      </w:r>
      <w:r>
        <w:rPr>
          <w:rFonts w:ascii="Arial" w:eastAsia="Arial" w:hAnsi="Arial" w:cs="Arial"/>
          <w:sz w:val="22"/>
          <w:szCs w:val="22"/>
        </w:rPr>
        <w:t>8.0%</w:t>
      </w:r>
      <w:r>
        <w:rPr>
          <w:rFonts w:ascii="Arial" w:eastAsia="Arial" w:hAnsi="Arial" w:cs="Arial"/>
          <w:sz w:val="22"/>
          <w:szCs w:val="22"/>
        </w:rPr>
        <w:t xml:space="preserve"> </w:t>
      </w:r>
      <w:r>
        <w:rPr>
          <w:rFonts w:ascii="Arial" w:eastAsia="Arial" w:hAnsi="Arial" w:cs="Arial"/>
          <w:sz w:val="22"/>
          <w:szCs w:val="22"/>
        </w:rPr>
        <w:t xml:space="preserve">increase in </w:t>
      </w:r>
      <w:r>
        <w:rPr>
          <w:rFonts w:ascii="Arial" w:eastAsia="Arial" w:hAnsi="Arial" w:cs="Arial"/>
          <w:sz w:val="22"/>
          <w:szCs w:val="22"/>
        </w:rPr>
        <w:t>renewal signings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The renewal rate </w:t>
      </w:r>
      <w:r>
        <w:rPr>
          <w:rFonts w:ascii="Arial" w:eastAsia="Arial" w:hAnsi="Arial" w:cs="Arial"/>
          <w:sz w:val="22"/>
          <w:szCs w:val="22"/>
        </w:rPr>
        <w:t>for the quarter</w:t>
      </w:r>
      <w:r>
        <w:rPr>
          <w:rFonts w:ascii="Arial" w:eastAsia="Arial" w:hAnsi="Arial" w:cs="Arial"/>
          <w:sz w:val="22"/>
          <w:szCs w:val="22"/>
        </w:rPr>
        <w:t xml:space="preserve"> was </w:t>
      </w:r>
      <w:r>
        <w:rPr>
          <w:rFonts w:ascii="Arial" w:eastAsia="Arial" w:hAnsi="Arial" w:cs="Arial"/>
          <w:sz w:val="22"/>
          <w:szCs w:val="22"/>
        </w:rPr>
        <w:t>93%</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u</w:t>
      </w:r>
      <w:r>
        <w:rPr>
          <w:rFonts w:ascii="Arial" w:eastAsia="Arial" w:hAnsi="Arial" w:cs="Arial"/>
          <w:sz w:val="22"/>
          <w:szCs w:val="22"/>
        </w:rPr>
        <w:t xml:space="preserve">p </w:t>
      </w:r>
      <w:r>
        <w:rPr>
          <w:rFonts w:ascii="Arial" w:eastAsia="Arial" w:hAnsi="Arial" w:cs="Arial"/>
          <w:sz w:val="22"/>
          <w:szCs w:val="22"/>
        </w:rPr>
        <w:t>300 bps</w:t>
      </w:r>
      <w:r>
        <w:rPr>
          <w:rFonts w:ascii="Arial" w:eastAsia="Arial" w:hAnsi="Arial" w:cs="Arial"/>
          <w:sz w:val="22"/>
          <w:szCs w:val="22"/>
        </w:rPr>
        <w:t xml:space="preserve"> </w:t>
      </w:r>
      <w:r>
        <w:rPr>
          <w:rFonts w:ascii="Arial" w:eastAsia="Arial" w:hAnsi="Arial" w:cs="Arial"/>
          <w:sz w:val="22"/>
          <w:szCs w:val="22"/>
        </w:rPr>
        <w:t xml:space="preserve">compared to </w:t>
      </w:r>
      <w:r>
        <w:rPr>
          <w:rFonts w:ascii="Arial" w:eastAsia="Arial" w:hAnsi="Arial" w:cs="Arial"/>
          <w:sz w:val="22"/>
          <w:szCs w:val="22"/>
        </w:rPr>
        <w:t>Q3 2018</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Note, this compare excludes divestitures. </w:t>
      </w:r>
    </w:p>
    <w:p>
      <w:pPr>
        <w:spacing w:before="0" w:after="0" w:line="348" w:lineRule="auto"/>
        <w:rPr>
          <w:rFonts w:ascii="Times New Roman" w:eastAsia="Times New Roman" w:hAnsi="Times New Roman" w:cs="Times New Roman"/>
        </w:rPr>
      </w:pPr>
    </w:p>
    <w:p>
      <w:pPr>
        <w:spacing w:before="0" w:after="0" w:line="348" w:lineRule="auto"/>
        <w:rPr>
          <w:sz w:val="22"/>
          <w:szCs w:val="22"/>
        </w:rPr>
      </w:pPr>
      <w:r>
        <w:rPr>
          <w:rFonts w:ascii="Arial" w:eastAsia="Arial" w:hAnsi="Arial" w:cs="Arial"/>
          <w:sz w:val="22"/>
          <w:szCs w:val="22"/>
        </w:rPr>
        <w:t> </w:t>
      </w: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sz w:val="22"/>
          <w:szCs w:val="22"/>
        </w:rPr>
      </w:pPr>
      <w:r>
        <w:rPr>
          <w:rFonts w:ascii="Arial" w:eastAsia="Arial" w:hAnsi="Arial" w:cs="Arial"/>
          <w:b/>
          <w:bCs/>
          <w:sz w:val="22"/>
          <w:szCs w:val="22"/>
        </w:rPr>
        <w:t>Financial</w:t>
      </w:r>
      <w:r>
        <w:rPr>
          <w:rFonts w:ascii="Arial" w:eastAsia="Arial" w:hAnsi="Arial" w:cs="Arial"/>
          <w:b/>
          <w:bCs/>
          <w:sz w:val="22"/>
          <w:szCs w:val="22"/>
        </w:rPr>
        <w:t xml:space="preserve"> Outlook </w:t>
      </w:r>
    </w:p>
    <w:p>
      <w:pPr>
        <w:keepLines/>
        <w:widowControl w:val="0"/>
        <w:spacing w:before="0" w:after="0"/>
        <w:rPr>
          <w:rFonts w:ascii="Times New Roman" w:eastAsia="Times New Roman" w:hAnsi="Times New Roman" w:cs="Times New Roman"/>
        </w:rPr>
      </w:pPr>
    </w:p>
    <w:tbl>
      <w:tblPr>
        <w:tblW w:w="10125" w:type="dxa"/>
        <w:tblInd w:w="63" w:type="dxa"/>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tblGrid>
        <w:gridCol w:w="2775"/>
        <w:gridCol w:w="77"/>
        <w:gridCol w:w="1737"/>
        <w:gridCol w:w="1493"/>
        <w:gridCol w:w="1720"/>
        <w:gridCol w:w="1139"/>
        <w:gridCol w:w="1144"/>
      </w:tblGrid>
      <w:tr>
        <w:tblPrEx>
          <w:tblW w:w="10125" w:type="dxa"/>
          <w:tblInd w:w="63" w:type="dxa"/>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Ex>
        <w:trPr>
          <w:trHeight w:hRule="exact" w:val="1020"/>
        </w:trPr>
        <w:tc>
          <w:tcPr>
            <w:tcW w:w="2880" w:type="dxa"/>
            <w:noWrap w:val="0"/>
            <w:tcMar>
              <w:top w:w="10" w:type="dxa"/>
              <w:left w:w="53" w:type="dxa"/>
              <w:bottom w:w="5" w:type="dxa"/>
              <w:right w:w="58" w:type="dxa"/>
            </w:tcMar>
            <w:vAlign w:val="bottom"/>
            <w:hideMark/>
          </w:tcPr>
          <w:p>
            <w:pPr>
              <w:spacing w:before="55" w:after="30" w:line="199" w:lineRule="auto"/>
              <w:rPr>
                <w:b w:val="0"/>
                <w:bCs w:val="0"/>
                <w:i w:val="0"/>
                <w:iCs w:val="0"/>
                <w:smallCaps w:val="0"/>
                <w:color w:val="000000"/>
              </w:rPr>
            </w:pPr>
            <w:r>
              <w:rPr>
                <w:rFonts w:ascii="Arial" w:eastAsia="Arial" w:hAnsi="Arial" w:cs="Arial"/>
                <w:b w:val="0"/>
                <w:bCs w:val="0"/>
                <w:i w:val="0"/>
                <w:iCs w:val="0"/>
                <w:smallCaps w:val="0"/>
                <w:color w:val="000000"/>
                <w:u w:val="single" w:color="000000"/>
              </w:rPr>
              <w:t>(in millions)</w:t>
            </w:r>
          </w:p>
        </w:tc>
        <w:tc>
          <w:tcPr>
            <w:tcW w:w="75" w:type="dxa"/>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rPr>
            </w:pPr>
            <w:r>
              <w:rPr>
                <w:rFonts w:ascii="Arial" w:eastAsia="Arial" w:hAnsi="Arial" w:cs="Arial"/>
                <w:b/>
                <w:bCs/>
                <w:i w:val="0"/>
                <w:iCs w:val="0"/>
                <w:smallCaps w:val="0"/>
                <w:color w:val="000000"/>
              </w:rPr>
              <w:t>FY 2018 Reported</w:t>
            </w:r>
          </w:p>
        </w:tc>
        <w:tc>
          <w:tcPr>
            <w:tcW w:w="1395" w:type="dxa"/>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rPr>
            </w:pPr>
            <w:r>
              <w:rPr>
                <w:rFonts w:ascii="Arial" w:eastAsia="Arial" w:hAnsi="Arial" w:cs="Arial"/>
                <w:b/>
                <w:bCs/>
                <w:i w:val="0"/>
                <w:iCs w:val="0"/>
                <w:smallCaps w:val="0"/>
                <w:color w:val="000000"/>
              </w:rPr>
              <w:t xml:space="preserve">Completed Divestiture Impact </w:t>
            </w:r>
            <w:r>
              <w:rPr>
                <w:rFonts w:ascii="Arial" w:eastAsia="Arial" w:hAnsi="Arial" w:cs="Arial"/>
                <w:b/>
                <w:bCs/>
                <w:i w:val="0"/>
                <w:iCs w:val="0"/>
                <w:smallCaps w:val="0"/>
                <w:color w:val="000000"/>
                <w:vertAlign w:val="superscript"/>
              </w:rPr>
              <w:t>(3)</w:t>
            </w:r>
          </w:p>
        </w:tc>
        <w:tc>
          <w:tcPr>
            <w:tcW w:w="1680" w:type="dxa"/>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rPr>
            </w:pPr>
            <w:r>
              <w:rPr>
                <w:rFonts w:ascii="Arial" w:eastAsia="Arial" w:hAnsi="Arial" w:cs="Arial"/>
                <w:b/>
                <w:bCs/>
                <w:i w:val="0"/>
                <w:iCs w:val="0"/>
                <w:smallCaps w:val="0"/>
                <w:color w:val="000000"/>
              </w:rPr>
              <w:t>Adjusted FY 2018</w:t>
            </w:r>
            <w:r>
              <w:rPr>
                <w:rFonts w:ascii="Arial" w:eastAsia="Arial" w:hAnsi="Arial" w:cs="Arial"/>
                <w:b/>
                <w:bCs/>
                <w:i w:val="0"/>
                <w:iCs w:val="0"/>
                <w:smallCaps w:val="0"/>
                <w:color w:val="000000"/>
                <w:vertAlign w:val="superscript"/>
              </w:rPr>
              <w:t>(4)</w:t>
            </w:r>
          </w:p>
        </w:tc>
        <w:tc>
          <w:tcPr>
            <w:tcW w:w="2400" w:type="dxa"/>
            <w:gridSpan w:val="2"/>
            <w:noWrap w:val="0"/>
            <w:tcMar>
              <w:top w:w="10" w:type="dxa"/>
              <w:left w:w="58" w:type="dxa"/>
              <w:bottom w:w="5" w:type="dxa"/>
              <w:right w:w="53" w:type="dxa"/>
            </w:tcMar>
            <w:vAlign w:val="bottom"/>
            <w:hideMark/>
          </w:tcPr>
          <w:p>
            <w:pPr>
              <w:spacing w:before="55" w:after="30" w:line="199" w:lineRule="auto"/>
              <w:jc w:val="center"/>
              <w:rPr>
                <w:b w:val="0"/>
                <w:bCs w:val="0"/>
                <w:i w:val="0"/>
                <w:iCs w:val="0"/>
                <w:smallCaps w:val="0"/>
                <w:color w:val="000000"/>
              </w:rPr>
            </w:pPr>
            <w:r>
              <w:rPr>
                <w:rFonts w:ascii="Arial" w:eastAsia="Arial" w:hAnsi="Arial" w:cs="Arial"/>
                <w:b/>
                <w:bCs/>
                <w:i w:val="0"/>
                <w:iCs w:val="0"/>
                <w:smallCaps w:val="0"/>
                <w:color w:val="000000"/>
              </w:rPr>
              <w:t>Updated</w:t>
            </w:r>
            <w:r>
              <w:rPr>
                <w:rFonts w:ascii="Arial" w:eastAsia="Arial" w:hAnsi="Arial" w:cs="Arial"/>
                <w:b/>
                <w:bCs/>
                <w:i w:val="0"/>
                <w:iCs w:val="0"/>
                <w:smallCaps w:val="0"/>
                <w:color w:val="000000"/>
              </w:rPr>
              <w:br/>
            </w:r>
            <w:r>
              <w:rPr>
                <w:rFonts w:ascii="Arial" w:eastAsia="Arial" w:hAnsi="Arial" w:cs="Arial"/>
                <w:b/>
                <w:bCs/>
                <w:i w:val="0"/>
                <w:iCs w:val="0"/>
                <w:smallCaps w:val="0"/>
                <w:color w:val="000000"/>
              </w:rPr>
              <w:br/>
            </w:r>
            <w:r>
              <w:rPr>
                <w:rFonts w:ascii="Arial" w:eastAsia="Arial" w:hAnsi="Arial" w:cs="Arial"/>
                <w:b/>
                <w:bCs/>
                <w:i w:val="0"/>
                <w:iCs w:val="0"/>
                <w:smallCaps w:val="0"/>
                <w:color w:val="000000"/>
              </w:rPr>
              <w:t xml:space="preserve">FY 2019 Guidance </w:t>
            </w:r>
          </w:p>
        </w:tc>
      </w:tr>
      <w:tr>
        <w:tblPrEx>
          <w:tblW w:w="10125" w:type="dxa"/>
          <w:tblInd w:w="63" w:type="dxa"/>
          <w:tblCellMar>
            <w:top w:w="0" w:type="dxa"/>
            <w:left w:w="0" w:type="dxa"/>
            <w:bottom w:w="0" w:type="dxa"/>
            <w:right w:w="0" w:type="dxa"/>
          </w:tblCellMar>
        </w:tblPrEx>
        <w:trPr>
          <w:trHeight w:hRule="exact" w:val="135"/>
        </w:trPr>
        <w:tc>
          <w:tcPr>
            <w:tcW w:w="2880" w:type="dxa"/>
            <w:noWrap w:val="0"/>
            <w:tcMar>
              <w:top w:w="5" w:type="dxa"/>
              <w:left w:w="10"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3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8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0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00" w:type="dxa"/>
            <w:noWrap w:val="0"/>
            <w:tcMar>
              <w:top w:w="5" w:type="dxa"/>
              <w:left w:w="5" w:type="dxa"/>
              <w:bottom w:w="5" w:type="dxa"/>
              <w:right w:w="10"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125" w:type="dxa"/>
          <w:tblInd w:w="63" w:type="dxa"/>
          <w:tblCellMar>
            <w:top w:w="0" w:type="dxa"/>
            <w:left w:w="0" w:type="dxa"/>
            <w:bottom w:w="0" w:type="dxa"/>
            <w:right w:w="0" w:type="dxa"/>
          </w:tblCellMar>
        </w:tblPrEx>
        <w:trPr>
          <w:trHeight w:hRule="exact" w:val="375"/>
        </w:trPr>
        <w:tc>
          <w:tcPr>
            <w:tcW w:w="2880" w:type="dxa"/>
            <w:vMerge w:val="restart"/>
            <w:shd w:val="clear" w:color="auto" w:fill="00497F"/>
            <w:noWrap w:val="0"/>
            <w:tcMar>
              <w:top w:w="5" w:type="dxa"/>
              <w:left w:w="53" w:type="dxa"/>
              <w:bottom w:w="5" w:type="dxa"/>
              <w:right w:w="58" w:type="dxa"/>
            </w:tcMar>
            <w:vAlign w:val="center"/>
            <w:hideMark/>
          </w:tcPr>
          <w:p>
            <w:pPr>
              <w:spacing w:before="75" w:after="30" w:line="199" w:lineRule="auto"/>
              <w:rPr>
                <w:b w:val="0"/>
                <w:bCs w:val="0"/>
                <w:i w:val="0"/>
                <w:iCs w:val="0"/>
                <w:smallCaps w:val="0"/>
                <w:color w:val="000000"/>
              </w:rPr>
            </w:pPr>
            <w:r>
              <w:rPr>
                <w:rFonts w:ascii="Arial" w:eastAsia="Arial" w:hAnsi="Arial" w:cs="Arial"/>
                <w:b w:val="0"/>
                <w:bCs w:val="0"/>
                <w:i w:val="0"/>
                <w:iCs w:val="0"/>
                <w:smallCaps w:val="0"/>
                <w:color w:val="FFFFFF"/>
              </w:rPr>
              <w:t xml:space="preserve"> </w:t>
            </w:r>
            <w:r>
              <w:rPr>
                <w:rFonts w:ascii="Arial" w:eastAsia="Arial" w:hAnsi="Arial" w:cs="Arial"/>
                <w:b w:val="0"/>
                <w:bCs w:val="0"/>
                <w:i w:val="0"/>
                <w:iCs w:val="0"/>
                <w:smallCaps w:val="0"/>
                <w:color w:val="FFFFFF"/>
              </w:rPr>
              <w:t>Revenue</w:t>
            </w:r>
            <w:r>
              <w:rPr>
                <w:rFonts w:ascii="Arial" w:eastAsia="Arial" w:hAnsi="Arial" w:cs="Arial"/>
                <w:b w:val="0"/>
                <w:bCs w:val="0"/>
                <w:i w:val="0"/>
                <w:iCs w:val="0"/>
                <w:smallCaps w:val="0"/>
                <w:color w:val="FFFFFF"/>
              </w:rPr>
              <w:t xml:space="preserve">            </w:t>
            </w:r>
            <w:r>
              <w:rPr>
                <w:rFonts w:ascii="Arial" w:eastAsia="Arial" w:hAnsi="Arial" w:cs="Arial"/>
                <w:b w:val="0"/>
                <w:bCs w:val="0"/>
                <w:i w:val="0"/>
                <w:iCs w:val="0"/>
                <w:smallCaps w:val="0"/>
                <w:color w:val="FFFFFF"/>
              </w:rPr>
              <w:t>(constant currency)</w:t>
            </w:r>
            <w:r>
              <w:rPr>
                <w:rFonts w:ascii="Arial" w:eastAsia="Arial" w:hAnsi="Arial" w:cs="Arial"/>
                <w:b w:val="0"/>
                <w:bCs w:val="0"/>
                <w:i w:val="0"/>
                <w:iCs w:val="0"/>
                <w:smallCaps w:val="0"/>
                <w:color w:val="FFFFFF"/>
                <w:vertAlign w:val="superscript"/>
              </w:rPr>
              <w:t>(1,2)</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vMerge w:val="restart"/>
            <w:noWrap w:val="0"/>
            <w:tcMar>
              <w:top w:w="5" w:type="dxa"/>
              <w:left w:w="58" w:type="dxa"/>
              <w:bottom w:w="5" w:type="dxa"/>
              <w:right w:w="58"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$5.39B</w:t>
            </w:r>
          </w:p>
        </w:tc>
        <w:tc>
          <w:tcPr>
            <w:tcW w:w="1395" w:type="dxa"/>
            <w:vMerge w:val="restart"/>
            <w:noWrap w:val="0"/>
            <w:tcMar>
              <w:top w:w="5" w:type="dxa"/>
              <w:left w:w="58" w:type="dxa"/>
              <w:bottom w:w="5" w:type="dxa"/>
              <w:right w:w="58"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$752M</w:t>
            </w:r>
          </w:p>
        </w:tc>
        <w:tc>
          <w:tcPr>
            <w:tcW w:w="1680" w:type="dxa"/>
            <w:vMerge w:val="restart"/>
            <w:noWrap w:val="0"/>
            <w:tcMar>
              <w:top w:w="5" w:type="dxa"/>
              <w:left w:w="58" w:type="dxa"/>
              <w:bottom w:w="5" w:type="dxa"/>
              <w:right w:w="58"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$4.64B</w:t>
            </w:r>
          </w:p>
        </w:tc>
        <w:tc>
          <w:tcPr>
            <w:tcW w:w="2400" w:type="dxa"/>
            <w:gridSpan w:val="2"/>
            <w:vMerge w:val="restart"/>
            <w:shd w:val="clear" w:color="auto" w:fill="00497F"/>
            <w:noWrap w:val="0"/>
            <w:tcMar>
              <w:top w:w="5" w:type="dxa"/>
              <w:left w:w="58" w:type="dxa"/>
              <w:bottom w:w="5" w:type="dxa"/>
              <w:right w:w="53"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FFFFFF"/>
                <w:sz w:val="20"/>
                <w:szCs w:val="20"/>
              </w:rPr>
              <w:t>Down (5) - (4)%</w:t>
            </w:r>
          </w:p>
        </w:tc>
      </w:tr>
      <w:tr>
        <w:tblPrEx>
          <w:tblW w:w="10125" w:type="dxa"/>
          <w:tblInd w:w="63" w:type="dxa"/>
          <w:tblCellMar>
            <w:top w:w="0" w:type="dxa"/>
            <w:left w:w="0" w:type="dxa"/>
            <w:bottom w:w="0" w:type="dxa"/>
            <w:right w:w="0" w:type="dxa"/>
          </w:tblCellMar>
        </w:tblPrEx>
        <w:trPr>
          <w:trHeight w:hRule="exact" w:val="780"/>
        </w:trPr>
        <w:tc>
          <w:tcPr>
            <w:vMerge/>
            <w:vAlign w:val="center"/>
            <w:hideMark/>
          </w:tcPr>
          <w:p>
            <w:pPr>
              <w:rPr>
                <w:rFonts w:ascii="Arial" w:eastAsia="Arial" w:hAnsi="Arial" w:cs="Arial"/>
                <w:b w:val="0"/>
                <w:bCs w:val="0"/>
                <w:i w:val="0"/>
                <w:iCs w:val="0"/>
                <w:smallCaps w:val="0"/>
                <w:color w:val="FFFFFF"/>
                <w:sz w:val="20"/>
                <w:szCs w:val="2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vMerge/>
            <w:vAlign w:val="center"/>
            <w:hideMark/>
          </w:tcPr>
          <w:p>
            <w:pPr>
              <w:rPr>
                <w:rFonts w:ascii="Times New Roman" w:eastAsia="Times New Roman" w:hAnsi="Times New Roman" w:cs="Times New Roman"/>
                <w:b w:val="0"/>
                <w:bCs w:val="0"/>
                <w:i w:val="0"/>
                <w:iCs w:val="0"/>
                <w:smallCaps w:val="0"/>
                <w:color w:val="000000"/>
              </w:rPr>
            </w:pPr>
          </w:p>
        </w:tc>
        <w:tc>
          <w:tcPr>
            <w:vMerge/>
            <w:vAlign w:val="center"/>
            <w:hideMark/>
          </w:tcPr>
          <w:p>
            <w:pPr>
              <w:rPr>
                <w:rFonts w:ascii="Times New Roman" w:eastAsia="Times New Roman" w:hAnsi="Times New Roman" w:cs="Times New Roman"/>
                <w:b w:val="0"/>
                <w:bCs w:val="0"/>
                <w:i w:val="0"/>
                <w:iCs w:val="0"/>
                <w:smallCaps w:val="0"/>
                <w:color w:val="000000"/>
              </w:rPr>
            </w:pPr>
          </w:p>
        </w:tc>
        <w:tc>
          <w:tcPr>
            <w:vMerge/>
            <w:vAlign w:val="center"/>
            <w:hideMark/>
          </w:tcPr>
          <w:p>
            <w:pPr>
              <w:rPr>
                <w:rFonts w:ascii="Times New Roman" w:eastAsia="Times New Roman" w:hAnsi="Times New Roman" w:cs="Times New Roman"/>
                <w:b w:val="0"/>
                <w:bCs w:val="0"/>
                <w:i w:val="0"/>
                <w:iCs w:val="0"/>
                <w:smallCaps w:val="0"/>
                <w:color w:val="000000"/>
              </w:rPr>
            </w:pPr>
          </w:p>
        </w:tc>
        <w:tc>
          <w:tcPr>
            <w:gridSpan w:val="2"/>
            <w:vMerge/>
            <w:vAlign w:val="center"/>
            <w:hideMark/>
          </w:tcPr>
          <w:p>
            <w:pPr>
              <w:rPr>
                <w:rFonts w:ascii="Times New Roman" w:eastAsia="Times New Roman" w:hAnsi="Times New Roman" w:cs="Times New Roman"/>
                <w:b w:val="0"/>
                <w:bCs w:val="0"/>
                <w:i w:val="0"/>
                <w:iCs w:val="0"/>
                <w:smallCaps w:val="0"/>
                <w:color w:val="000000"/>
              </w:rPr>
            </w:pPr>
          </w:p>
        </w:tc>
      </w:tr>
      <w:tr>
        <w:tblPrEx>
          <w:tblW w:w="10125" w:type="dxa"/>
          <w:tblInd w:w="63" w:type="dxa"/>
          <w:tblCellMar>
            <w:top w:w="0" w:type="dxa"/>
            <w:left w:w="0" w:type="dxa"/>
            <w:bottom w:w="0" w:type="dxa"/>
            <w:right w:w="0" w:type="dxa"/>
          </w:tblCellMar>
        </w:tblPrEx>
        <w:trPr>
          <w:trHeight w:hRule="exact" w:val="120"/>
        </w:trPr>
        <w:tc>
          <w:tcPr>
            <w:tcW w:w="2880" w:type="dxa"/>
            <w:noWrap w:val="0"/>
            <w:tcMar>
              <w:top w:w="5" w:type="dxa"/>
              <w:left w:w="10"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3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8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400" w:type="dxa"/>
            <w:gridSpan w:val="2"/>
            <w:noWrap w:val="0"/>
            <w:tcMar>
              <w:top w:w="5" w:type="dxa"/>
              <w:left w:w="5" w:type="dxa"/>
              <w:bottom w:w="5" w:type="dxa"/>
              <w:right w:w="10"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125" w:type="dxa"/>
          <w:tblInd w:w="63" w:type="dxa"/>
          <w:tblCellMar>
            <w:top w:w="0" w:type="dxa"/>
            <w:left w:w="0" w:type="dxa"/>
            <w:bottom w:w="0" w:type="dxa"/>
            <w:right w:w="0" w:type="dxa"/>
          </w:tblCellMar>
        </w:tblPrEx>
        <w:trPr>
          <w:trHeight w:hRule="exact" w:val="555"/>
        </w:trPr>
        <w:tc>
          <w:tcPr>
            <w:tcW w:w="2880" w:type="dxa"/>
            <w:shd w:val="clear" w:color="auto" w:fill="00497F"/>
            <w:noWrap w:val="0"/>
            <w:tcMar>
              <w:top w:w="5" w:type="dxa"/>
              <w:left w:w="53" w:type="dxa"/>
              <w:bottom w:w="5" w:type="dxa"/>
              <w:right w:w="58" w:type="dxa"/>
            </w:tcMar>
            <w:vAlign w:val="center"/>
            <w:hideMark/>
          </w:tcPr>
          <w:p>
            <w:pPr>
              <w:spacing w:before="75" w:after="30" w:line="199" w:lineRule="auto"/>
              <w:rPr>
                <w:b w:val="0"/>
                <w:bCs w:val="0"/>
                <w:i w:val="0"/>
                <w:iCs w:val="0"/>
                <w:smallCaps w:val="0"/>
                <w:color w:val="000000"/>
              </w:rPr>
            </w:pPr>
            <w:r>
              <w:rPr>
                <w:rFonts w:ascii="Arial" w:eastAsia="Arial" w:hAnsi="Arial" w:cs="Arial"/>
                <w:b w:val="0"/>
                <w:bCs w:val="0"/>
                <w:i w:val="0"/>
                <w:iCs w:val="0"/>
                <w:smallCaps w:val="0"/>
                <w:color w:val="FFFFFF"/>
              </w:rPr>
              <w:t>Adj. EBITDA Margin</w:t>
            </w:r>
            <w:r>
              <w:rPr>
                <w:rFonts w:ascii="Arial" w:eastAsia="Arial" w:hAnsi="Arial" w:cs="Arial"/>
                <w:b w:val="0"/>
                <w:bCs w:val="0"/>
                <w:i w:val="0"/>
                <w:iCs w:val="0"/>
                <w:smallCaps w:val="0"/>
                <w:color w:val="FFFFFF"/>
                <w:vertAlign w:val="superscript"/>
              </w:rPr>
              <w:t>(2)</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noWrap w:val="0"/>
            <w:tcMar>
              <w:top w:w="5" w:type="dxa"/>
              <w:left w:w="58" w:type="dxa"/>
              <w:bottom w:w="5" w:type="dxa"/>
              <w:right w:w="20"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11.9%</w:t>
            </w:r>
          </w:p>
        </w:tc>
        <w:tc>
          <w:tcPr>
            <w:tcW w:w="13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80" w:type="dxa"/>
            <w:noWrap w:val="0"/>
            <w:tcMar>
              <w:top w:w="5" w:type="dxa"/>
              <w:left w:w="58" w:type="dxa"/>
              <w:bottom w:w="5" w:type="dxa"/>
              <w:right w:w="20"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11.5%</w:t>
            </w:r>
          </w:p>
        </w:tc>
        <w:tc>
          <w:tcPr>
            <w:tcW w:w="2400" w:type="dxa"/>
            <w:gridSpan w:val="2"/>
            <w:shd w:val="clear" w:color="auto" w:fill="00497F"/>
            <w:noWrap w:val="0"/>
            <w:tcMar>
              <w:top w:w="5" w:type="dxa"/>
              <w:left w:w="58" w:type="dxa"/>
              <w:bottom w:w="5" w:type="dxa"/>
              <w:right w:w="53"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FFFFFF"/>
                <w:sz w:val="20"/>
                <w:szCs w:val="20"/>
              </w:rPr>
              <w:t>10.8% - 11.6%</w:t>
            </w:r>
          </w:p>
        </w:tc>
      </w:tr>
      <w:tr>
        <w:tblPrEx>
          <w:tblW w:w="10125" w:type="dxa"/>
          <w:tblInd w:w="63" w:type="dxa"/>
          <w:tblCellMar>
            <w:top w:w="0" w:type="dxa"/>
            <w:left w:w="0" w:type="dxa"/>
            <w:bottom w:w="0" w:type="dxa"/>
            <w:right w:w="0" w:type="dxa"/>
          </w:tblCellMar>
        </w:tblPrEx>
        <w:trPr>
          <w:trHeight w:hRule="exact" w:val="105"/>
        </w:trPr>
        <w:tc>
          <w:tcPr>
            <w:tcW w:w="2880" w:type="dxa"/>
            <w:noWrap w:val="0"/>
            <w:tcMar>
              <w:top w:w="5" w:type="dxa"/>
              <w:left w:w="10"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39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8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0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00" w:type="dxa"/>
            <w:noWrap w:val="0"/>
            <w:tcMar>
              <w:top w:w="5" w:type="dxa"/>
              <w:left w:w="5" w:type="dxa"/>
              <w:bottom w:w="5" w:type="dxa"/>
              <w:right w:w="10"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125" w:type="dxa"/>
          <w:tblInd w:w="63" w:type="dxa"/>
          <w:tblCellMar>
            <w:top w:w="0" w:type="dxa"/>
            <w:left w:w="0" w:type="dxa"/>
            <w:bottom w:w="0" w:type="dxa"/>
            <w:right w:w="0" w:type="dxa"/>
          </w:tblCellMar>
        </w:tblPrEx>
        <w:trPr>
          <w:trHeight w:hRule="exact" w:val="600"/>
        </w:trPr>
        <w:tc>
          <w:tcPr>
            <w:tcW w:w="2880" w:type="dxa"/>
            <w:shd w:val="clear" w:color="auto" w:fill="00497F"/>
            <w:noWrap w:val="0"/>
            <w:tcMar>
              <w:top w:w="5" w:type="dxa"/>
              <w:left w:w="53" w:type="dxa"/>
              <w:bottom w:w="10" w:type="dxa"/>
              <w:right w:w="58" w:type="dxa"/>
            </w:tcMar>
            <w:vAlign w:val="center"/>
            <w:hideMark/>
          </w:tcPr>
          <w:p>
            <w:pPr>
              <w:widowControl w:val="0"/>
              <w:spacing w:before="75" w:after="0" w:line="199" w:lineRule="auto"/>
              <w:rPr>
                <w:b w:val="0"/>
                <w:bCs w:val="0"/>
                <w:i w:val="0"/>
                <w:iCs w:val="0"/>
                <w:smallCaps w:val="0"/>
                <w:color w:val="000000"/>
              </w:rPr>
            </w:pPr>
            <w:r>
              <w:rPr>
                <w:rFonts w:ascii="Arial" w:eastAsia="Arial" w:hAnsi="Arial" w:cs="Arial"/>
                <w:b w:val="0"/>
                <w:bCs w:val="0"/>
                <w:i w:val="0"/>
                <w:iCs w:val="0"/>
                <w:smallCaps w:val="0"/>
                <w:color w:val="FFFFFF"/>
              </w:rPr>
              <w:t xml:space="preserve">Adj. </w:t>
            </w:r>
            <w:r>
              <w:rPr>
                <w:rFonts w:ascii="Arial" w:eastAsia="Arial" w:hAnsi="Arial" w:cs="Arial"/>
                <w:b w:val="0"/>
                <w:bCs w:val="0"/>
                <w:i w:val="0"/>
                <w:iCs w:val="0"/>
                <w:smallCaps w:val="0"/>
                <w:color w:val="FFFFFF"/>
              </w:rPr>
              <w:t>F</w:t>
            </w:r>
            <w:r>
              <w:rPr>
                <w:rFonts w:ascii="Arial" w:eastAsia="Arial" w:hAnsi="Arial" w:cs="Arial"/>
                <w:b w:val="0"/>
                <w:bCs w:val="0"/>
                <w:i w:val="0"/>
                <w:iCs w:val="0"/>
                <w:smallCaps w:val="0"/>
                <w:color w:val="FFFFFF"/>
              </w:rPr>
              <w:t xml:space="preserve">ree </w:t>
            </w:r>
            <w:r>
              <w:rPr>
                <w:rFonts w:ascii="Arial" w:eastAsia="Arial" w:hAnsi="Arial" w:cs="Arial"/>
                <w:b w:val="0"/>
                <w:bCs w:val="0"/>
                <w:i w:val="0"/>
                <w:iCs w:val="0"/>
                <w:smallCaps w:val="0"/>
                <w:color w:val="FFFFFF"/>
              </w:rPr>
              <w:t>Cash Flow</w:t>
            </w:r>
            <w:r>
              <w:rPr>
                <w:rFonts w:ascii="Arial" w:eastAsia="Arial" w:hAnsi="Arial" w:cs="Arial"/>
                <w:b w:val="0"/>
                <w:bCs w:val="0"/>
                <w:i w:val="0"/>
                <w:iCs w:val="0"/>
                <w:smallCaps w:val="0"/>
                <w:color w:val="FFFFFF"/>
                <w:vertAlign w:val="superscript"/>
              </w:rPr>
              <w:t>(2)</w:t>
            </w:r>
            <w:r>
              <w:rPr>
                <w:rFonts w:ascii="Arial" w:eastAsia="Arial" w:hAnsi="Arial" w:cs="Arial"/>
                <w:b w:val="0"/>
                <w:bCs w:val="0"/>
                <w:i w:val="0"/>
                <w:iCs w:val="0"/>
                <w:smallCaps w:val="0"/>
                <w:color w:val="FFFFFF"/>
              </w:rPr>
              <w:t xml:space="preserve"> </w:t>
            </w:r>
          </w:p>
          <w:p>
            <w:pPr>
              <w:widowControl w:val="0"/>
              <w:spacing w:before="0" w:after="30" w:line="199" w:lineRule="auto"/>
              <w:rPr>
                <w:b w:val="0"/>
                <w:bCs w:val="0"/>
                <w:i w:val="0"/>
                <w:iCs w:val="0"/>
                <w:smallCaps w:val="0"/>
                <w:color w:val="000000"/>
              </w:rPr>
            </w:pPr>
            <w:r>
              <w:rPr>
                <w:rFonts w:ascii="Arial" w:eastAsia="Arial" w:hAnsi="Arial" w:cs="Arial"/>
                <w:b w:val="0"/>
                <w:bCs w:val="0"/>
                <w:i w:val="0"/>
                <w:iCs w:val="0"/>
                <w:smallCaps w:val="0"/>
                <w:color w:val="FFFFFF"/>
              </w:rPr>
              <w:t xml:space="preserve">as </w:t>
            </w:r>
            <w:r>
              <w:rPr>
                <w:rFonts w:ascii="Arial" w:eastAsia="Arial" w:hAnsi="Arial" w:cs="Arial"/>
                <w:b w:val="0"/>
                <w:bCs w:val="0"/>
                <w:i w:val="0"/>
                <w:iCs w:val="0"/>
                <w:smallCaps w:val="0"/>
                <w:color w:val="FFFFFF"/>
              </w:rPr>
              <w:t xml:space="preserve">a </w:t>
            </w:r>
            <w:r>
              <w:rPr>
                <w:rFonts w:ascii="Arial" w:eastAsia="Arial" w:hAnsi="Arial" w:cs="Arial"/>
                <w:b w:val="0"/>
                <w:bCs w:val="0"/>
                <w:i w:val="0"/>
                <w:iCs w:val="0"/>
                <w:smallCaps w:val="0"/>
                <w:color w:val="FFFFFF"/>
              </w:rPr>
              <w:t>% of Adj. EBITDA</w:t>
            </w:r>
          </w:p>
        </w:tc>
        <w:tc>
          <w:tcPr>
            <w:tcW w:w="75" w:type="dxa"/>
            <w:noWrap w:val="0"/>
            <w:tcMar>
              <w:top w:w="5" w:type="dxa"/>
              <w:left w:w="5" w:type="dxa"/>
              <w:bottom w:w="10"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95" w:type="dxa"/>
            <w:noWrap w:val="0"/>
            <w:tcMar>
              <w:top w:w="5" w:type="dxa"/>
              <w:left w:w="58" w:type="dxa"/>
              <w:bottom w:w="10" w:type="dxa"/>
              <w:right w:w="20"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34.1%</w:t>
            </w:r>
          </w:p>
        </w:tc>
        <w:tc>
          <w:tcPr>
            <w:tcW w:w="1395" w:type="dxa"/>
            <w:noWrap w:val="0"/>
            <w:tcMar>
              <w:top w:w="5" w:type="dxa"/>
              <w:left w:w="5" w:type="dxa"/>
              <w:bottom w:w="10"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680" w:type="dxa"/>
            <w:noWrap w:val="0"/>
            <w:tcMar>
              <w:top w:w="5" w:type="dxa"/>
              <w:left w:w="5" w:type="dxa"/>
              <w:bottom w:w="10"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400" w:type="dxa"/>
            <w:gridSpan w:val="2"/>
            <w:shd w:val="clear" w:color="auto" w:fill="00497F"/>
            <w:noWrap w:val="0"/>
            <w:tcMar>
              <w:top w:w="5" w:type="dxa"/>
              <w:left w:w="58" w:type="dxa"/>
              <w:bottom w:w="10" w:type="dxa"/>
              <w:right w:w="53" w:type="dxa"/>
            </w:tcMar>
            <w:vAlign w:val="center"/>
            <w:hideMark/>
          </w:tcPr>
          <w:p>
            <w:pPr>
              <w:spacing w:before="75" w:after="30" w:line="199" w:lineRule="auto"/>
              <w:jc w:val="center"/>
              <w:rPr>
                <w:b w:val="0"/>
                <w:bCs w:val="0"/>
                <w:i w:val="0"/>
                <w:iCs w:val="0"/>
                <w:smallCaps w:val="0"/>
                <w:color w:val="000000"/>
                <w:sz w:val="20"/>
                <w:szCs w:val="20"/>
              </w:rPr>
            </w:pPr>
            <w:r>
              <w:rPr>
                <w:rFonts w:ascii="Arial" w:eastAsia="Arial" w:hAnsi="Arial" w:cs="Arial"/>
                <w:b w:val="0"/>
                <w:bCs w:val="0"/>
                <w:i w:val="0"/>
                <w:iCs w:val="0"/>
                <w:smallCaps w:val="0"/>
                <w:color w:val="FFFFFF"/>
                <w:sz w:val="20"/>
                <w:szCs w:val="20"/>
              </w:rPr>
              <w:t>~20%</w:t>
            </w:r>
          </w:p>
        </w:tc>
      </w:tr>
    </w:tbl>
    <w:p>
      <w:pPr>
        <w:spacing w:before="120" w:after="0"/>
        <w:rPr>
          <w:rFonts w:ascii="Times New Roman" w:eastAsia="Times New Roman" w:hAnsi="Times New Roman" w:cs="Times New Roman"/>
        </w:rPr>
      </w:pPr>
    </w:p>
    <w:p>
      <w:pPr>
        <w:spacing w:before="0" w:after="0"/>
        <w:rPr>
          <w:sz w:val="14"/>
          <w:szCs w:val="14"/>
        </w:rPr>
      </w:pPr>
      <w:r>
        <w:rPr>
          <w:rFonts w:ascii="Arial" w:eastAsia="Arial" w:hAnsi="Arial" w:cs="Arial"/>
          <w:sz w:val="12"/>
          <w:szCs w:val="12"/>
        </w:rPr>
        <w:t xml:space="preserve"> </w:t>
      </w:r>
      <w:r>
        <w:rPr>
          <w:rFonts w:ascii="Arial" w:eastAsia="Arial" w:hAnsi="Arial" w:cs="Arial"/>
          <w:sz w:val="14"/>
          <w:szCs w:val="14"/>
        </w:rPr>
        <w:t xml:space="preserve">Note: Please refer to the "Non-GAAP Outlook" in </w:t>
      </w:r>
      <w:r>
        <w:rPr>
          <w:rFonts w:ascii="Arial" w:eastAsia="Arial" w:hAnsi="Arial" w:cs="Arial"/>
          <w:sz w:val="14"/>
          <w:szCs w:val="14"/>
        </w:rPr>
        <w:t>A</w:t>
      </w:r>
      <w:r>
        <w:rPr>
          <w:rFonts w:ascii="Arial" w:eastAsia="Arial" w:hAnsi="Arial" w:cs="Arial"/>
          <w:sz w:val="14"/>
          <w:szCs w:val="14"/>
        </w:rPr>
        <w:t>ppendix for certain non-GAAP information regarding outlook</w:t>
      </w:r>
    </w:p>
    <w:p>
      <w:pPr>
        <w:spacing w:before="0" w:after="0"/>
        <w:rPr>
          <w:rFonts w:ascii="Times New Roman" w:eastAsia="Times New Roman" w:hAnsi="Times New Roman" w:cs="Times New Roman"/>
        </w:rPr>
      </w:pPr>
    </w:p>
    <w:p>
      <w:pPr>
        <w:spacing w:before="0" w:after="0"/>
        <w:rPr>
          <w:sz w:val="14"/>
          <w:szCs w:val="14"/>
        </w:rPr>
      </w:pPr>
      <w:r>
        <w:rPr>
          <w:rFonts w:ascii="Arial" w:eastAsia="Arial" w:hAnsi="Arial" w:cs="Arial"/>
          <w:sz w:val="14"/>
          <w:szCs w:val="14"/>
        </w:rPr>
        <w:t>(1) Year-over-year revenue growth comparison at constant currency</w:t>
      </w:r>
    </w:p>
    <w:p>
      <w:pPr>
        <w:spacing w:before="0" w:after="0"/>
        <w:rPr>
          <w:sz w:val="14"/>
          <w:szCs w:val="14"/>
        </w:rPr>
      </w:pPr>
      <w:r>
        <w:rPr>
          <w:rFonts w:ascii="Arial" w:eastAsia="Arial" w:hAnsi="Arial" w:cs="Arial"/>
          <w:sz w:val="14"/>
          <w:szCs w:val="14"/>
        </w:rPr>
        <w:t>(2) Refer to Appendix for Non-GAAP reconciliations of adjusted EBITDA / margin and adjusted FCF and for impact from completed divestitures. FY 2019 FCF adjusted for Texas-related litigation impact</w:t>
      </w:r>
    </w:p>
    <w:p>
      <w:pPr>
        <w:spacing w:before="0" w:after="0"/>
        <w:rPr>
          <w:sz w:val="14"/>
          <w:szCs w:val="14"/>
        </w:rPr>
      </w:pPr>
      <w:r>
        <w:rPr>
          <w:rFonts w:ascii="Arial" w:eastAsia="Arial" w:hAnsi="Arial" w:cs="Arial"/>
          <w:sz w:val="14"/>
          <w:szCs w:val="14"/>
        </w:rPr>
        <w:t xml:space="preserve">(3) Includes all completed divestitures </w:t>
      </w:r>
    </w:p>
    <w:p>
      <w:pPr>
        <w:spacing w:before="0" w:after="0"/>
        <w:rPr>
          <w:sz w:val="14"/>
          <w:szCs w:val="14"/>
        </w:rPr>
      </w:pPr>
      <w:r>
        <w:rPr>
          <w:rFonts w:ascii="Arial" w:eastAsia="Arial" w:hAnsi="Arial" w:cs="Arial"/>
          <w:sz w:val="14"/>
          <w:szCs w:val="14"/>
        </w:rPr>
        <w:t xml:space="preserve">(4) Adjusted for 2018 and 2019 completed divestitures referenced in </w:t>
      </w:r>
      <w:r>
        <w:rPr>
          <w:rFonts w:ascii="Arial" w:eastAsia="Arial" w:hAnsi="Arial" w:cs="Arial"/>
          <w:sz w:val="14"/>
          <w:szCs w:val="14"/>
        </w:rPr>
        <w:t>A</w:t>
      </w:r>
      <w:r>
        <w:rPr>
          <w:rFonts w:ascii="Arial" w:eastAsia="Arial" w:hAnsi="Arial" w:cs="Arial"/>
          <w:sz w:val="14"/>
          <w:szCs w:val="14"/>
        </w:rPr>
        <w:t xml:space="preserve">ppendix. </w:t>
      </w:r>
    </w:p>
    <w:p>
      <w:pPr>
        <w:keepLines/>
        <w:widowControl w:val="0"/>
        <w:spacing w:before="0" w:after="0" w:line="348" w:lineRule="auto"/>
        <w:rPr>
          <w:sz w:val="22"/>
          <w:szCs w:val="22"/>
        </w:rPr>
      </w:pPr>
      <w:r>
        <w:rPr>
          <w:rFonts w:ascii="Arial" w:eastAsia="Arial" w:hAnsi="Arial" w:cs="Arial"/>
          <w:sz w:val="22"/>
          <w:szCs w:val="22"/>
        </w:rPr>
        <w:t> </w:t>
      </w:r>
    </w:p>
    <w:p>
      <w:pPr>
        <w:spacing w:before="0" w:after="0" w:line="348" w:lineRule="auto"/>
        <w:rPr>
          <w:sz w:val="22"/>
          <w:szCs w:val="22"/>
        </w:rPr>
      </w:pPr>
      <w:r>
        <w:rPr>
          <w:rFonts w:ascii="Arial" w:eastAsia="Arial" w:hAnsi="Arial" w:cs="Arial"/>
          <w:sz w:val="22"/>
          <w:szCs w:val="22"/>
        </w:rPr>
        <w:t xml:space="preserve">Brian Webb-Walsh, CFO of Conduent, stated, </w:t>
      </w:r>
      <w:r>
        <w:rPr>
          <w:rFonts w:ascii="Arial" w:eastAsia="Arial" w:hAnsi="Arial" w:cs="Arial"/>
          <w:sz w:val="22"/>
          <w:szCs w:val="22"/>
        </w:rPr>
        <w:t>"</w:t>
      </w:r>
      <w:r>
        <w:rPr>
          <w:rFonts w:ascii="Arial" w:eastAsia="Arial" w:hAnsi="Arial" w:cs="Arial"/>
          <w:sz w:val="22"/>
          <w:szCs w:val="22"/>
        </w:rPr>
        <w:t>We had a</w:t>
      </w:r>
      <w:r>
        <w:rPr>
          <w:rFonts w:ascii="Arial" w:eastAsia="Arial" w:hAnsi="Arial" w:cs="Arial"/>
          <w:sz w:val="22"/>
          <w:szCs w:val="22"/>
        </w:rPr>
        <w:t>n in-line</w:t>
      </w:r>
      <w:r>
        <w:rPr>
          <w:rFonts w:ascii="Arial" w:eastAsia="Arial" w:hAnsi="Arial" w:cs="Arial"/>
          <w:sz w:val="22"/>
          <w:szCs w:val="22"/>
        </w:rPr>
        <w:t xml:space="preserve"> quarter with </w:t>
      </w:r>
      <w:r>
        <w:rPr>
          <w:rFonts w:ascii="Arial" w:eastAsia="Arial" w:hAnsi="Arial" w:cs="Arial"/>
          <w:sz w:val="22"/>
          <w:szCs w:val="22"/>
        </w:rPr>
        <w:t>r</w:t>
      </w:r>
      <w:r>
        <w:rPr>
          <w:rFonts w:ascii="Arial" w:eastAsia="Arial" w:hAnsi="Arial" w:cs="Arial"/>
          <w:sz w:val="22"/>
          <w:szCs w:val="22"/>
        </w:rPr>
        <w:t xml:space="preserve">evenue and </w:t>
      </w:r>
      <w:r>
        <w:rPr>
          <w:rFonts w:ascii="Arial" w:eastAsia="Arial" w:hAnsi="Arial" w:cs="Arial"/>
          <w:sz w:val="22"/>
          <w:szCs w:val="22"/>
        </w:rPr>
        <w:t>a</w:t>
      </w:r>
      <w:r>
        <w:rPr>
          <w:rFonts w:ascii="Arial" w:eastAsia="Arial" w:hAnsi="Arial" w:cs="Arial"/>
          <w:sz w:val="22"/>
          <w:szCs w:val="22"/>
        </w:rPr>
        <w:t xml:space="preserve">djusted EBITDA </w:t>
      </w:r>
      <w:r>
        <w:rPr>
          <w:rFonts w:ascii="Arial" w:eastAsia="Arial" w:hAnsi="Arial" w:cs="Arial"/>
          <w:sz w:val="22"/>
          <w:szCs w:val="22"/>
        </w:rPr>
        <w:t xml:space="preserve">results </w:t>
      </w:r>
      <w:r>
        <w:rPr>
          <w:rFonts w:ascii="Arial" w:eastAsia="Arial" w:hAnsi="Arial" w:cs="Arial"/>
          <w:sz w:val="22"/>
          <w:szCs w:val="22"/>
        </w:rPr>
        <w:t xml:space="preserve">slightly </w:t>
      </w:r>
      <w:r>
        <w:rPr>
          <w:rFonts w:ascii="Arial" w:eastAsia="Arial" w:hAnsi="Arial" w:cs="Arial"/>
          <w:sz w:val="22"/>
          <w:szCs w:val="22"/>
        </w:rPr>
        <w:t>ahead of</w:t>
      </w:r>
      <w:r>
        <w:rPr>
          <w:rFonts w:ascii="Arial" w:eastAsia="Arial" w:hAnsi="Arial" w:cs="Arial"/>
          <w:sz w:val="22"/>
          <w:szCs w:val="22"/>
        </w:rPr>
        <w:t xml:space="preserve"> our </w:t>
      </w:r>
      <w:r>
        <w:rPr>
          <w:rFonts w:ascii="Arial" w:eastAsia="Arial" w:hAnsi="Arial" w:cs="Arial"/>
          <w:sz w:val="22"/>
          <w:szCs w:val="22"/>
        </w:rPr>
        <w:t xml:space="preserve">internal </w:t>
      </w:r>
      <w:r>
        <w:rPr>
          <w:rFonts w:ascii="Arial" w:eastAsia="Arial" w:hAnsi="Arial" w:cs="Arial"/>
          <w:sz w:val="22"/>
          <w:szCs w:val="22"/>
        </w:rPr>
        <w:t>expectations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W</w:t>
      </w:r>
      <w:r>
        <w:rPr>
          <w:rFonts w:ascii="Arial" w:eastAsia="Arial" w:hAnsi="Arial" w:cs="Arial"/>
          <w:sz w:val="22"/>
          <w:szCs w:val="22"/>
        </w:rPr>
        <w:t xml:space="preserve">e are </w:t>
      </w:r>
      <w:r>
        <w:rPr>
          <w:rFonts w:ascii="Arial" w:eastAsia="Arial" w:hAnsi="Arial" w:cs="Arial"/>
          <w:sz w:val="22"/>
          <w:szCs w:val="22"/>
        </w:rPr>
        <w:t>reaffirm</w:t>
      </w:r>
      <w:r>
        <w:rPr>
          <w:rFonts w:ascii="Arial" w:eastAsia="Arial" w:hAnsi="Arial" w:cs="Arial"/>
          <w:sz w:val="22"/>
          <w:szCs w:val="22"/>
        </w:rPr>
        <w:t>ing</w:t>
      </w:r>
      <w:r>
        <w:rPr>
          <w:rFonts w:ascii="Arial" w:eastAsia="Arial" w:hAnsi="Arial" w:cs="Arial"/>
          <w:sz w:val="22"/>
          <w:szCs w:val="22"/>
        </w:rPr>
        <w:t xml:space="preserve"> our 2019 </w:t>
      </w:r>
      <w:r>
        <w:rPr>
          <w:rFonts w:ascii="Arial" w:eastAsia="Arial" w:hAnsi="Arial" w:cs="Arial"/>
          <w:sz w:val="22"/>
          <w:szCs w:val="22"/>
        </w:rPr>
        <w:t>r</w:t>
      </w:r>
      <w:r>
        <w:rPr>
          <w:rFonts w:ascii="Arial" w:eastAsia="Arial" w:hAnsi="Arial" w:cs="Arial"/>
          <w:sz w:val="22"/>
          <w:szCs w:val="22"/>
        </w:rPr>
        <w:t xml:space="preserve">evenue and </w:t>
      </w:r>
      <w:r>
        <w:rPr>
          <w:rFonts w:ascii="Arial" w:eastAsia="Arial" w:hAnsi="Arial" w:cs="Arial"/>
          <w:sz w:val="22"/>
          <w:szCs w:val="22"/>
        </w:rPr>
        <w:t>a</w:t>
      </w:r>
      <w:r>
        <w:rPr>
          <w:rFonts w:ascii="Arial" w:eastAsia="Arial" w:hAnsi="Arial" w:cs="Arial"/>
          <w:sz w:val="22"/>
          <w:szCs w:val="22"/>
        </w:rPr>
        <w:t xml:space="preserve">djusted EBITDA margin guidance </w:t>
      </w:r>
      <w:r>
        <w:rPr>
          <w:rFonts w:ascii="Arial" w:eastAsia="Arial" w:hAnsi="Arial" w:cs="Arial"/>
          <w:sz w:val="22"/>
          <w:szCs w:val="22"/>
        </w:rPr>
        <w:t>and</w:t>
      </w:r>
      <w:r>
        <w:rPr>
          <w:rFonts w:ascii="Arial" w:eastAsia="Arial" w:hAnsi="Arial" w:cs="Arial"/>
          <w:sz w:val="22"/>
          <w:szCs w:val="22"/>
        </w:rPr>
        <w:t xml:space="preserve"> </w:t>
      </w:r>
      <w:r>
        <w:rPr>
          <w:rFonts w:ascii="Arial" w:eastAsia="Arial" w:hAnsi="Arial" w:cs="Arial"/>
          <w:sz w:val="22"/>
          <w:szCs w:val="22"/>
        </w:rPr>
        <w:t>continue to</w:t>
      </w:r>
      <w:r>
        <w:rPr>
          <w:rFonts w:ascii="Arial" w:eastAsia="Arial" w:hAnsi="Arial" w:cs="Arial"/>
          <w:sz w:val="22"/>
          <w:szCs w:val="22"/>
        </w:rPr>
        <w:t xml:space="preserve"> focus on balancing cost savings with investment in</w:t>
      </w:r>
      <w:r>
        <w:rPr>
          <w:rFonts w:ascii="Arial" w:eastAsia="Arial" w:hAnsi="Arial" w:cs="Arial"/>
          <w:sz w:val="22"/>
          <w:szCs w:val="22"/>
        </w:rPr>
        <w:t xml:space="preserve"> our processes, people, and technology</w:t>
      </w:r>
      <w:r>
        <w:rPr>
          <w:rFonts w:ascii="Arial" w:eastAsia="Arial" w:hAnsi="Arial" w:cs="Arial"/>
          <w:sz w:val="22"/>
          <w:szCs w:val="22"/>
        </w:rPr>
        <w:t>.</w:t>
      </w:r>
      <w:r>
        <w:rPr>
          <w:rFonts w:ascii="Arial" w:eastAsia="Arial" w:hAnsi="Arial" w:cs="Arial"/>
          <w:sz w:val="22"/>
          <w:szCs w:val="22"/>
        </w:rPr>
        <w:t>"</w:t>
      </w: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keepNext/>
        <w:keepLines/>
        <w:widowControl w:val="0"/>
        <w:spacing w:before="0" w:after="0" w:line="348" w:lineRule="auto"/>
        <w:rPr>
          <w:rFonts w:ascii="Times New Roman" w:eastAsia="Times New Roman" w:hAnsi="Times New Roman" w:cs="Times New Roman"/>
        </w:rPr>
      </w:pPr>
    </w:p>
    <w:p>
      <w:pPr>
        <w:keepNext/>
        <w:keepLines/>
        <w:widowControl w:val="0"/>
        <w:spacing w:before="0" w:after="0" w:line="348" w:lineRule="auto"/>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b/>
          <w:bCs/>
          <w:sz w:val="22"/>
          <w:szCs w:val="22"/>
        </w:rPr>
        <w:t>Conference Call</w:t>
      </w:r>
    </w:p>
    <w:p>
      <w:pPr>
        <w:keepNext/>
        <w:keepLines/>
        <w:widowControl w:val="0"/>
        <w:spacing w:before="0" w:after="0" w:line="348" w:lineRule="auto"/>
        <w:rPr>
          <w:sz w:val="22"/>
          <w:szCs w:val="22"/>
        </w:rPr>
      </w:pPr>
      <w:r>
        <w:rPr>
          <w:rFonts w:ascii="Arial" w:eastAsia="Arial" w:hAnsi="Arial" w:cs="Arial"/>
          <w:sz w:val="22"/>
          <w:szCs w:val="22"/>
        </w:rPr>
        <w:t xml:space="preserve">Management will present the results during a conference call and webcast on </w:t>
      </w:r>
      <w:r>
        <w:rPr>
          <w:rFonts w:ascii="Arial" w:eastAsia="Arial" w:hAnsi="Arial" w:cs="Arial"/>
          <w:sz w:val="22"/>
          <w:szCs w:val="22"/>
        </w:rPr>
        <w:t>November</w:t>
      </w:r>
      <w:r>
        <w:rPr>
          <w:rFonts w:ascii="Arial" w:eastAsia="Arial" w:hAnsi="Arial" w:cs="Arial"/>
          <w:sz w:val="22"/>
          <w:szCs w:val="22"/>
        </w:rPr>
        <w:t> </w:t>
      </w:r>
      <w:r>
        <w:rPr>
          <w:rFonts w:ascii="Arial" w:eastAsia="Arial" w:hAnsi="Arial" w:cs="Arial"/>
          <w:sz w:val="22"/>
          <w:szCs w:val="22"/>
        </w:rPr>
        <w:t>6, 2019</w:t>
      </w:r>
      <w:r>
        <w:rPr>
          <w:rFonts w:ascii="Arial" w:eastAsia="Arial" w:hAnsi="Arial" w:cs="Arial"/>
          <w:sz w:val="22"/>
          <w:szCs w:val="22"/>
        </w:rPr>
        <w:t xml:space="preserve"> at 5 p.m. ET.</w:t>
      </w:r>
    </w:p>
    <w:p>
      <w:pPr>
        <w:keepNext/>
        <w:keepLines/>
        <w:widowControl w:val="0"/>
        <w:spacing w:before="0" w:after="0" w:line="348" w:lineRule="auto"/>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The call will be available by live audio webcast with the news release and online presentation slides at https://investor.conduent.com/.</w:t>
      </w:r>
    </w:p>
    <w:p>
      <w:pPr>
        <w:keepNext/>
        <w:keepLines/>
        <w:widowControl w:val="0"/>
        <w:spacing w:before="0" w:after="0" w:line="348" w:lineRule="auto"/>
        <w:rPr>
          <w:rFonts w:ascii="Times New Roman" w:eastAsia="Times New Roman" w:hAnsi="Times New Roman" w:cs="Times New Roman"/>
        </w:rPr>
      </w:pPr>
    </w:p>
    <w:p>
      <w:pPr>
        <w:spacing w:before="0" w:after="0" w:line="230" w:lineRule="auto"/>
        <w:rPr>
          <w:sz w:val="22"/>
          <w:szCs w:val="22"/>
        </w:rPr>
      </w:pPr>
      <w:r>
        <w:rPr>
          <w:rFonts w:ascii="Arial" w:eastAsia="Arial" w:hAnsi="Arial" w:cs="Arial"/>
          <w:sz w:val="22"/>
          <w:szCs w:val="22"/>
        </w:rPr>
        <w:t xml:space="preserve">The conference call will also be available by calling 1-877-883-0383 (international dial-in 1-412-902-6506) at approximately 4:45 p.m. ET. The entry number for this call </w:t>
      </w:r>
      <w:r>
        <w:rPr>
          <w:rFonts w:ascii="Arial" w:eastAsia="Arial" w:hAnsi="Arial" w:cs="Arial"/>
          <w:sz w:val="22"/>
          <w:szCs w:val="22"/>
        </w:rPr>
        <w:t xml:space="preserve">is </w:t>
      </w:r>
      <w:r>
        <w:rPr>
          <w:rFonts w:ascii="Arial" w:eastAsia="Arial" w:hAnsi="Arial" w:cs="Arial"/>
          <w:sz w:val="22"/>
          <w:szCs w:val="22"/>
        </w:rPr>
        <w:t>0612634</w:t>
      </w:r>
      <w:r>
        <w:rPr>
          <w:rFonts w:ascii="Arial" w:eastAsia="Arial" w:hAnsi="Arial" w:cs="Arial"/>
          <w:sz w:val="22"/>
          <w:szCs w:val="22"/>
        </w:rPr>
        <w:t>.</w:t>
      </w:r>
      <w:r>
        <w:rPr>
          <w:rFonts w:ascii="Arial" w:eastAsia="Arial" w:hAnsi="Arial" w:cs="Arial"/>
          <w:sz w:val="22"/>
          <w:szCs w:val="22"/>
        </w:rPr>
        <w:t xml:space="preserve"> </w:t>
      </w:r>
    </w:p>
    <w:p>
      <w:pPr>
        <w:spacing w:before="0" w:after="0" w:line="348" w:lineRule="auto"/>
        <w:rPr>
          <w:rFonts w:ascii="Times New Roman" w:eastAsia="Times New Roman" w:hAnsi="Times New Roman" w:cs="Times New Roman"/>
        </w:rPr>
      </w:pPr>
    </w:p>
    <w:p>
      <w:pPr>
        <w:spacing w:before="0" w:after="0" w:line="230" w:lineRule="auto"/>
        <w:rPr>
          <w:sz w:val="22"/>
          <w:szCs w:val="22"/>
        </w:rPr>
      </w:pPr>
      <w:r>
        <w:rPr>
          <w:rFonts w:ascii="Arial" w:eastAsia="Arial" w:hAnsi="Arial" w:cs="Arial"/>
          <w:sz w:val="22"/>
          <w:szCs w:val="22"/>
        </w:rPr>
        <w:t xml:space="preserve">A recording of the conference call will be available by calling 1-877-344-7529, or 1-412-317-0088 one hour after the conference call concludes on </w:t>
      </w:r>
      <w:r>
        <w:rPr>
          <w:rFonts w:ascii="Arial" w:eastAsia="Arial" w:hAnsi="Arial" w:cs="Arial"/>
          <w:sz w:val="22"/>
          <w:szCs w:val="22"/>
        </w:rPr>
        <w:t>November</w:t>
      </w:r>
      <w:r>
        <w:rPr>
          <w:rFonts w:ascii="Arial" w:eastAsia="Arial" w:hAnsi="Arial" w:cs="Arial"/>
          <w:sz w:val="22"/>
          <w:szCs w:val="22"/>
        </w:rPr>
        <w:t> </w:t>
      </w:r>
      <w:r>
        <w:rPr>
          <w:rFonts w:ascii="Arial" w:eastAsia="Arial" w:hAnsi="Arial" w:cs="Arial"/>
          <w:sz w:val="22"/>
          <w:szCs w:val="22"/>
        </w:rPr>
        <w:t>6, 2019</w:t>
      </w:r>
      <w:r>
        <w:rPr>
          <w:rFonts w:ascii="Arial" w:eastAsia="Arial" w:hAnsi="Arial" w:cs="Arial"/>
          <w:sz w:val="22"/>
          <w:szCs w:val="22"/>
        </w:rPr>
        <w:t>. The replay ID i</w:t>
      </w:r>
      <w:r>
        <w:rPr>
          <w:rFonts w:ascii="Arial" w:eastAsia="Arial" w:hAnsi="Arial" w:cs="Arial"/>
          <w:sz w:val="22"/>
          <w:szCs w:val="22"/>
        </w:rPr>
        <w:t xml:space="preserve">s </w:t>
      </w:r>
      <w:r>
        <w:rPr>
          <w:rFonts w:ascii="Arial" w:eastAsia="Arial" w:hAnsi="Arial" w:cs="Arial"/>
          <w:sz w:val="22"/>
          <w:szCs w:val="22"/>
        </w:rPr>
        <w:t>10132425</w:t>
      </w:r>
      <w:r>
        <w:rPr>
          <w:rFonts w:ascii="Arial" w:eastAsia="Arial" w:hAnsi="Arial" w:cs="Arial"/>
          <w:sz w:val="22"/>
          <w:szCs w:val="22"/>
        </w:rPr>
        <w:t>.</w:t>
      </w:r>
    </w:p>
    <w:p>
      <w:pPr>
        <w:spacing w:before="0" w:after="0" w:line="348" w:lineRule="auto"/>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 xml:space="preserve">For international calls, please select a dial-in number from: </w:t>
      </w:r>
    </w:p>
    <w:p>
      <w:pPr>
        <w:keepNext/>
        <w:keepLines/>
        <w:widowControl w:val="0"/>
        <w:spacing w:before="0" w:after="0" w:line="348" w:lineRule="auto"/>
        <w:rPr>
          <w:sz w:val="22"/>
          <w:szCs w:val="22"/>
        </w:rPr>
      </w:pPr>
      <w:r>
        <w:rPr>
          <w:rFonts w:ascii="Arial" w:eastAsia="Arial" w:hAnsi="Arial" w:cs="Arial"/>
          <w:sz w:val="22"/>
          <w:szCs w:val="22"/>
        </w:rPr>
        <w:t>https://services.choruscall.com/ccforms/replay.html</w:t>
      </w:r>
    </w:p>
    <w:p>
      <w:pPr>
        <w:spacing w:before="0" w:after="0" w:line="348" w:lineRule="auto"/>
        <w:rPr>
          <w:rFonts w:ascii="Times New Roman" w:eastAsia="Times New Roman" w:hAnsi="Times New Roman" w:cs="Times New Roman"/>
        </w:rPr>
      </w:pPr>
    </w:p>
    <w:p>
      <w:pPr>
        <w:spacing w:before="100" w:after="100"/>
        <w:rPr>
          <w:sz w:val="22"/>
          <w:szCs w:val="22"/>
        </w:rPr>
      </w:pPr>
      <w:r>
        <w:rPr>
          <w:rFonts w:ascii="Arial" w:eastAsia="Arial" w:hAnsi="Arial" w:cs="Arial"/>
          <w:b/>
          <w:bCs/>
          <w:sz w:val="22"/>
          <w:szCs w:val="22"/>
        </w:rPr>
        <w:t>About Conduent</w:t>
      </w:r>
      <w:r>
        <w:rPr>
          <w:rFonts w:ascii="Arial" w:eastAsia="Arial" w:hAnsi="Arial" w:cs="Arial"/>
          <w:b/>
          <w:bCs/>
          <w:sz w:val="22"/>
          <w:szCs w:val="22"/>
        </w:rPr>
        <w:t> </w:t>
      </w:r>
      <w:r>
        <w:rPr>
          <w:rFonts w:ascii="Arial" w:eastAsia="Arial" w:hAnsi="Arial" w:cs="Arial"/>
          <w:b/>
          <w:bCs/>
          <w:sz w:val="22"/>
          <w:szCs w:val="22"/>
        </w:rPr>
        <w:t> </w:t>
      </w:r>
    </w:p>
    <w:p>
      <w:pPr>
        <w:spacing w:before="0" w:after="0" w:line="348" w:lineRule="auto"/>
        <w:rPr>
          <w:sz w:val="22"/>
          <w:szCs w:val="22"/>
        </w:rPr>
      </w:pPr>
      <w:r>
        <w:rPr>
          <w:rFonts w:ascii="Arial" w:eastAsia="Arial" w:hAnsi="Arial" w:cs="Arial"/>
          <w:sz w:val="22"/>
          <w:szCs w:val="22"/>
        </w:rPr>
        <w:t>Conduent delivers mission-critical ​services and solutions on behalf of businesses and governments – creating exceptional outcomes for its clients and the millions of people who count on them. Through people, process and technology, Conduent solutions and services automate processes, improve efficiencies, reduce costs and enable revenue growth.</w:t>
      </w:r>
      <w:r>
        <w:rPr>
          <w:rFonts w:ascii="Arial" w:eastAsia="Arial" w:hAnsi="Arial" w:cs="Arial"/>
          <w:sz w:val="22"/>
          <w:szCs w:val="22"/>
        </w:rPr>
        <w:t xml:space="preserve"> </w:t>
      </w:r>
      <w:r>
        <w:rPr>
          <w:rFonts w:ascii="Arial" w:eastAsia="Arial" w:hAnsi="Arial" w:cs="Arial"/>
          <w:sz w:val="22"/>
          <w:szCs w:val="22"/>
        </w:rPr>
        <w:t xml:space="preserve">It’s why most Fortune 100 companies and over 500 government entities depend on </w:t>
      </w:r>
      <w:r>
        <w:rPr>
          <w:rFonts w:ascii="Arial" w:eastAsia="Arial" w:hAnsi="Arial" w:cs="Arial"/>
          <w:sz w:val="22"/>
          <w:szCs w:val="22"/>
        </w:rPr>
        <w:t>Conduent every day to manage their essential interactions and move their operations forward.</w:t>
      </w:r>
    </w:p>
    <w:p>
      <w:pPr>
        <w:spacing w:before="0" w:after="0" w:line="348" w:lineRule="auto"/>
        <w:rPr>
          <w:rFonts w:ascii="Times New Roman" w:eastAsia="Times New Roman" w:hAnsi="Times New Roman" w:cs="Times New Roman"/>
        </w:rPr>
      </w:pPr>
    </w:p>
    <w:p>
      <w:pPr>
        <w:spacing w:before="0" w:after="0" w:line="348" w:lineRule="auto"/>
        <w:rPr>
          <w:sz w:val="22"/>
          <w:szCs w:val="22"/>
        </w:rPr>
      </w:pPr>
      <w:r>
        <w:rPr>
          <w:rFonts w:ascii="Arial" w:eastAsia="Arial" w:hAnsi="Arial" w:cs="Arial"/>
          <w:sz w:val="22"/>
          <w:szCs w:val="22"/>
        </w:rPr>
        <w:t>Conduent’s differentiated services and solutions improve experiences for millions of people every day, including two-thirds of all</w:t>
      </w:r>
      <w:r>
        <w:rPr>
          <w:rFonts w:ascii="Arial" w:eastAsia="Arial" w:hAnsi="Arial" w:cs="Arial"/>
          <w:sz w:val="22"/>
          <w:szCs w:val="22"/>
        </w:rPr>
        <w:t xml:space="preserve"> </w:t>
      </w:r>
      <w:r>
        <w:rPr>
          <w:rFonts w:ascii="Arial" w:eastAsia="Arial" w:hAnsi="Arial" w:cs="Arial"/>
          <w:sz w:val="22"/>
          <w:szCs w:val="22"/>
        </w:rPr>
        <w:t>insured patients</w:t>
      </w:r>
      <w:r>
        <w:rPr>
          <w:rFonts w:ascii="Arial" w:eastAsia="Arial" w:hAnsi="Arial" w:cs="Arial"/>
          <w:sz w:val="22"/>
          <w:szCs w:val="22"/>
        </w:rPr>
        <w:t xml:space="preserve"> </w:t>
      </w:r>
      <w:r>
        <w:rPr>
          <w:rFonts w:ascii="Arial" w:eastAsia="Arial" w:hAnsi="Arial" w:cs="Arial"/>
          <w:sz w:val="22"/>
          <w:szCs w:val="22"/>
        </w:rPr>
        <w:t xml:space="preserve">in the U.S., 11 million employees who use its </w:t>
      </w:r>
      <w:r>
        <w:rPr>
          <w:rFonts w:ascii="Arial" w:eastAsia="Arial" w:hAnsi="Arial" w:cs="Arial"/>
          <w:sz w:val="22"/>
          <w:szCs w:val="22"/>
        </w:rPr>
        <w:t>HR Services</w:t>
      </w:r>
      <w:r>
        <w:rPr>
          <w:rFonts w:ascii="Arial" w:eastAsia="Arial" w:hAnsi="Arial" w:cs="Arial"/>
          <w:sz w:val="22"/>
          <w:szCs w:val="22"/>
        </w:rPr>
        <w:t xml:space="preserve">, </w:t>
      </w:r>
      <w:r>
        <w:rPr>
          <w:rFonts w:ascii="Arial" w:eastAsia="Arial" w:hAnsi="Arial" w:cs="Arial"/>
          <w:sz w:val="22"/>
          <w:szCs w:val="22"/>
        </w:rPr>
        <w:t xml:space="preserve">and nearly nine million people who travel through </w:t>
      </w:r>
      <w:r>
        <w:rPr>
          <w:rFonts w:ascii="Arial" w:eastAsia="Arial" w:hAnsi="Arial" w:cs="Arial"/>
          <w:sz w:val="22"/>
          <w:szCs w:val="22"/>
        </w:rPr>
        <w:t xml:space="preserve">toll systems </w:t>
      </w:r>
      <w:r>
        <w:rPr>
          <w:rFonts w:ascii="Arial" w:eastAsia="Arial" w:hAnsi="Arial" w:cs="Arial"/>
          <w:sz w:val="22"/>
          <w:szCs w:val="22"/>
        </w:rPr>
        <w:t>daily. Conduent’s solutions deliver exceptional outcomes for its clients including $16 billion in medical bill savings, up to 40% efficiency increase in HR operations, and up to 40% improvement in processing costs, while driving higher end-user satisfaction. Learn more at</w:t>
      </w:r>
      <w:r>
        <w:rPr>
          <w:rFonts w:ascii="Arial" w:eastAsia="Arial" w:hAnsi="Arial" w:cs="Arial"/>
          <w:sz w:val="22"/>
          <w:szCs w:val="22"/>
        </w:rPr>
        <w:t xml:space="preserve"> </w:t>
      </w:r>
      <w:r>
        <w:rPr>
          <w:rFonts w:ascii="Arial" w:eastAsia="Arial" w:hAnsi="Arial" w:cs="Arial"/>
          <w:sz w:val="22"/>
          <w:szCs w:val="22"/>
        </w:rPr>
        <w:t>www.conduent.com</w:t>
      </w:r>
      <w:r>
        <w:rPr>
          <w:rFonts w:ascii="Arial" w:eastAsia="Arial" w:hAnsi="Arial" w:cs="Arial"/>
          <w:sz w:val="22"/>
          <w:szCs w:val="22"/>
        </w:rPr>
        <w:t>.</w:t>
      </w: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spacing w:before="0" w:after="0" w:line="348" w:lineRule="auto"/>
        <w:ind w:right="180"/>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b/>
          <w:bCs/>
          <w:sz w:val="22"/>
          <w:szCs w:val="22"/>
        </w:rPr>
        <w:t>Non-GAAP Measures</w:t>
      </w:r>
    </w:p>
    <w:p>
      <w:pPr>
        <w:keepNext/>
        <w:keepLines/>
        <w:widowControl w:val="0"/>
        <w:spacing w:before="0" w:after="0"/>
        <w:rPr>
          <w:sz w:val="22"/>
          <w:szCs w:val="22"/>
        </w:rPr>
      </w:pPr>
      <w:r>
        <w:rPr>
          <w:rFonts w:ascii="Arial" w:eastAsia="Arial" w:hAnsi="Arial" w:cs="Arial"/>
          <w:b/>
          <w:bCs/>
          <w:sz w:val="22"/>
          <w:szCs w:val="22"/>
        </w:rPr>
        <w:t> </w:t>
      </w:r>
    </w:p>
    <w:p>
      <w:pPr>
        <w:keepNext/>
        <w:keepLines/>
        <w:widowControl w:val="0"/>
        <w:spacing w:before="0" w:after="0" w:line="348" w:lineRule="auto"/>
        <w:rPr>
          <w:sz w:val="22"/>
          <w:szCs w:val="22"/>
        </w:rPr>
      </w:pPr>
      <w:r>
        <w:rPr>
          <w:rFonts w:ascii="Arial" w:eastAsia="Arial" w:hAnsi="Arial" w:cs="Arial"/>
          <w:sz w:val="22"/>
          <w:szCs w:val="22"/>
        </w:rPr>
        <w:t>We have reported our financial results in accordance with U.S. generally accepted accounting principles (GAAP). In addition, we have discussed our financial results using non-GAAP measures. We believe these non-GAAP measures allow investors to better understand the trends in our business and to better understand and compare our results. Accordingly, we believe it is necessary to adjust several reported amounts, determined in accordance with GAAP, to exclude the effects of certain items as well as their related tax effects. Management believes that these non-GAAP financial measures provide an additional means of analyzing the current periods' results against the corresponding prior periods' results. These non-GAAP financial measures should be viewed in addition to, and not as a substitute for, the Company's reported results prepared in accordance with U.S. GAAP. Our non-GAAP financial measures are not meant to be considered in isolation or as a substitute for comparable U.S. GAAP measures and should be read only in conjunction with our Condensed Consolidated Financial Statements prepared in accordance with U.S. GAAP. Our management regularly uses supplemental non-GAAP financial measures internally to understand, manage and evaluate our business and make operating decisions, and providing such non-GAAP financial measures to investors allows for a further level of transparency as to how management reviews and evaluates our business results and trends. These non-GAAP measures are among the primary factors management uses in planning for and forecasting future periods. Compensation of our executives is based in part on the performance of our business based on certain non-GAAP measures. Refer to the "Non-GAAP Financial Measures" section attached to this release for a discussion of these non-GAAP measures and their reconciliation to the reported GAAP measures.</w:t>
      </w:r>
    </w:p>
    <w:p>
      <w:pPr>
        <w:keepNext/>
        <w:keepLines/>
        <w:widowControl w:val="0"/>
        <w:spacing w:before="0" w:after="0"/>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b/>
          <w:bCs/>
          <w:sz w:val="22"/>
          <w:szCs w:val="22"/>
        </w:rPr>
        <w:t>Forward-Looking Statements</w:t>
      </w:r>
    </w:p>
    <w:p>
      <w:pPr>
        <w:keepNext/>
        <w:keepLines/>
        <w:widowControl w:val="0"/>
        <w:spacing w:before="0" w:after="0"/>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 xml:space="preserve">This release and any </w:t>
      </w:r>
      <w:r>
        <w:rPr>
          <w:rFonts w:ascii="Arial" w:eastAsia="Arial" w:hAnsi="Arial" w:cs="Arial"/>
          <w:sz w:val="22"/>
          <w:szCs w:val="22"/>
        </w:rPr>
        <w:t>attachments</w:t>
      </w:r>
      <w:r>
        <w:rPr>
          <w:rFonts w:ascii="Arial" w:eastAsia="Arial" w:hAnsi="Arial" w:cs="Arial"/>
          <w:sz w:val="22"/>
          <w:szCs w:val="22"/>
        </w:rPr>
        <w:t xml:space="preserve"> to this release may contain "forward-looking statements" as defined in the Private Securities Litigation Reform Act of 1995. The words “anticipate,” “believe,” “estimate,” “expect,” “intend,” “will,” “should” and similar expressions, as they relate to us, are intended to identify forward-looking statements. These statements reflect management's current beliefs, assumptions and expectations and are subject to a number of factors that may cause actual results to differ materially. As with any projection or forecast, forward-looking statements are inherently susceptible to uncertainty and changes in circumstances. Our actual results may vary materially from those expressed or implied in our forward-looking statements. </w:t>
      </w:r>
    </w:p>
    <w:p>
      <w:pPr>
        <w:keepNext/>
        <w:keepLines/>
        <w:widowControl w:val="0"/>
        <w:spacing w:before="0" w:after="0" w:line="348" w:lineRule="auto"/>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Important factors and uncertainties that could cause our actual results to differ materially from those in our forward-looking s</w:t>
      </w:r>
      <w:r>
        <w:rPr>
          <w:rFonts w:ascii="Arial" w:eastAsia="Arial" w:hAnsi="Arial" w:cs="Arial"/>
          <w:sz w:val="22"/>
          <w:szCs w:val="22"/>
        </w:rPr>
        <w:t>t</w:t>
      </w:r>
      <w:r>
        <w:rPr>
          <w:rFonts w:ascii="Arial" w:eastAsia="Arial" w:hAnsi="Arial" w:cs="Arial"/>
          <w:sz w:val="22"/>
          <w:szCs w:val="22"/>
        </w:rPr>
        <w:t>a</w:t>
      </w:r>
      <w:r>
        <w:rPr>
          <w:rFonts w:ascii="Arial" w:eastAsia="Arial" w:hAnsi="Arial" w:cs="Arial"/>
          <w:sz w:val="22"/>
          <w:szCs w:val="22"/>
        </w:rPr>
        <w:t>tements include, but are not limited to: our ability to successfully manage the leadership transition</w:t>
      </w:r>
      <w:r>
        <w:rPr>
          <w:rFonts w:ascii="Arial" w:eastAsia="Arial" w:hAnsi="Arial" w:cs="Arial"/>
          <w:sz w:val="22"/>
          <w:szCs w:val="22"/>
        </w:rPr>
        <w:t xml:space="preserve"> and strategic and operational review</w:t>
      </w:r>
      <w:r>
        <w:rPr>
          <w:rFonts w:ascii="Arial" w:eastAsia="Arial" w:hAnsi="Arial" w:cs="Arial"/>
          <w:sz w:val="22"/>
          <w:szCs w:val="22"/>
        </w:rPr>
        <w:t xml:space="preserve"> and the potential for disruptions to our business from the transition</w:t>
      </w:r>
      <w:r>
        <w:rPr>
          <w:rFonts w:ascii="Arial" w:eastAsia="Arial" w:hAnsi="Arial" w:cs="Arial"/>
          <w:sz w:val="22"/>
          <w:szCs w:val="22"/>
        </w:rPr>
        <w:t xml:space="preserve"> and strategic and operational review</w:t>
      </w:r>
      <w:r>
        <w:rPr>
          <w:rFonts w:ascii="Arial" w:eastAsia="Arial" w:hAnsi="Arial" w:cs="Arial"/>
          <w:sz w:val="22"/>
          <w:szCs w:val="22"/>
        </w:rPr>
        <w:t>; government appropriations and termination rights contained in our government contracts</w:t>
      </w:r>
      <w:r>
        <w:rPr>
          <w:rFonts w:ascii="Arial" w:eastAsia="Arial" w:hAnsi="Arial" w:cs="Arial"/>
          <w:sz w:val="22"/>
          <w:szCs w:val="22"/>
        </w:rPr>
        <w:t>; our ability to renew commercial and government contracts</w:t>
      </w:r>
      <w:r>
        <w:rPr>
          <w:rFonts w:ascii="Arial" w:eastAsia="Arial" w:hAnsi="Arial" w:cs="Arial"/>
          <w:sz w:val="22"/>
          <w:szCs w:val="22"/>
        </w:rPr>
        <w:t>, including contracts</w:t>
      </w:r>
      <w:r>
        <w:rPr>
          <w:rFonts w:ascii="Arial" w:eastAsia="Arial" w:hAnsi="Arial" w:cs="Arial"/>
          <w:sz w:val="22"/>
          <w:szCs w:val="22"/>
        </w:rPr>
        <w:t xml:space="preserve"> awarded through competitive bidding processes; our ability to recover capital and other investments in connection with our contracts; our ability to attract and retain necessary technical personnel and qualified subcontractors; our ability to deliver on our contractual obligations properly and on time; competitive pressures; our significant indebtedness; changes in interest in outsourced business process services; our ability to obtain adequate pricing for our services and to improve our cost </w:t>
      </w:r>
      <w:r>
        <w:rPr>
          <w:rFonts w:ascii="Arial" w:eastAsia="Arial" w:hAnsi="Arial" w:cs="Arial"/>
          <w:sz w:val="22"/>
          <w:szCs w:val="22"/>
        </w:rPr>
        <w:t>structure; claims of infringement of third-party intellectual property rights; the failure to comply with laws relating to individually identifiable information, and personal health information and laws relating to processing certain financial transactions, including payment card transactions and debit or credit card transactions; breaches of our information systems or security systems or any service interruptions; our ability to estimate the scope of work or the costs of performance in our contracts; our continuing emphasis on and shift toward technology-led digital transactions; customer decision-making cycles and lead time for customer commitments; our ability to collect our receivables</w:t>
      </w:r>
      <w:r>
        <w:rPr>
          <w:rFonts w:ascii="Arial" w:eastAsia="Arial" w:hAnsi="Arial" w:cs="Arial"/>
          <w:sz w:val="22"/>
          <w:szCs w:val="22"/>
        </w:rPr>
        <w:t>, including those</w:t>
      </w:r>
      <w:r>
        <w:rPr>
          <w:rFonts w:ascii="Arial" w:eastAsia="Arial" w:hAnsi="Arial" w:cs="Arial"/>
          <w:sz w:val="22"/>
          <w:szCs w:val="22"/>
        </w:rPr>
        <w:t xml:space="preserve"> for unbilled services; a decline in revenues from</w:t>
      </w:r>
      <w:r>
        <w:rPr>
          <w:rFonts w:ascii="Arial" w:eastAsia="Arial" w:hAnsi="Arial" w:cs="Arial"/>
          <w:sz w:val="22"/>
          <w:szCs w:val="22"/>
        </w:rPr>
        <w:t>,</w:t>
      </w:r>
      <w:r>
        <w:rPr>
          <w:rFonts w:ascii="Arial" w:eastAsia="Arial" w:hAnsi="Arial" w:cs="Arial"/>
          <w:sz w:val="22"/>
          <w:szCs w:val="22"/>
        </w:rPr>
        <w:t xml:space="preserve"> or a loss </w:t>
      </w:r>
      <w:r>
        <w:rPr>
          <w:rFonts w:ascii="Arial" w:eastAsia="Arial" w:hAnsi="Arial" w:cs="Arial"/>
          <w:sz w:val="22"/>
          <w:szCs w:val="22"/>
        </w:rPr>
        <w:t xml:space="preserve">of, </w:t>
      </w:r>
      <w:r>
        <w:rPr>
          <w:rFonts w:ascii="Arial" w:eastAsia="Arial" w:hAnsi="Arial" w:cs="Arial"/>
          <w:sz w:val="22"/>
          <w:szCs w:val="22"/>
        </w:rPr>
        <w:t xml:space="preserve">or </w:t>
      </w:r>
      <w:r>
        <w:rPr>
          <w:rFonts w:ascii="Arial" w:eastAsia="Arial" w:hAnsi="Arial" w:cs="Arial"/>
          <w:sz w:val="22"/>
          <w:szCs w:val="22"/>
        </w:rPr>
        <w:t xml:space="preserve">a reduction in business from, </w:t>
      </w:r>
      <w:r>
        <w:rPr>
          <w:rFonts w:ascii="Arial" w:eastAsia="Arial" w:hAnsi="Arial" w:cs="Arial"/>
          <w:sz w:val="22"/>
          <w:szCs w:val="22"/>
        </w:rPr>
        <w:t xml:space="preserve">or </w:t>
      </w:r>
      <w:r>
        <w:rPr>
          <w:rFonts w:ascii="Arial" w:eastAsia="Arial" w:hAnsi="Arial" w:cs="Arial"/>
          <w:sz w:val="22"/>
          <w:szCs w:val="22"/>
        </w:rPr>
        <w:t xml:space="preserve">failure of significant clients; fluctuations in our non-recurring revenue; our failure to maintain a satisfactory credit rating; our ability to attract and retain key employees; increases in the cost of telephone and data services or significant interruptions in such services; our failure to develop new service offerings; our ability to modernize our information technology infrastructure and consolidate data centers; our ability to comply with data security standards; our ability to receive dividends or other payments from our subsidiaries; changes in tax and other laws and regulations; changes in government regulation and economic, strategic, political and social conditions; changes in U.S. GAAP or other applicable accounting policies; and other factors that are set forth in the “Risk Factors” section, the “Legal Proceedings” section, the “Management's Discussion and Analysis of Financial Condition and Results of Operations” section and other sections in our </w:t>
      </w:r>
      <w:r>
        <w:rPr>
          <w:rFonts w:ascii="Arial" w:eastAsia="Arial" w:hAnsi="Arial" w:cs="Arial"/>
          <w:sz w:val="22"/>
          <w:szCs w:val="22"/>
        </w:rPr>
        <w:t>2018</w:t>
      </w:r>
      <w:r>
        <w:rPr>
          <w:rFonts w:ascii="Arial" w:eastAsia="Arial" w:hAnsi="Arial" w:cs="Arial"/>
          <w:sz w:val="22"/>
          <w:szCs w:val="22"/>
        </w:rPr>
        <w:t xml:space="preserve"> Annual Report on Form 10-K, as well as in our Quarterly Reports on Form 10-Q and Current Reports on Form 8-K filed with </w:t>
      </w:r>
      <w:r>
        <w:rPr>
          <w:rFonts w:ascii="Arial" w:eastAsia="Arial" w:hAnsi="Arial" w:cs="Arial"/>
          <w:sz w:val="22"/>
          <w:szCs w:val="22"/>
        </w:rPr>
        <w:t xml:space="preserve">or furnished to </w:t>
      </w:r>
      <w:r>
        <w:rPr>
          <w:rFonts w:ascii="Arial" w:eastAsia="Arial" w:hAnsi="Arial" w:cs="Arial"/>
          <w:sz w:val="22"/>
          <w:szCs w:val="22"/>
        </w:rPr>
        <w:t>the Securities and Exchange Commission. Any forward-looking statements made by us in this release speak only as of the date on which they are made. We are under no obligation to, and expressly disclaim any obligation to, update or alter our forward-looking statements, whether as a result of new information, subsequent events or otherwise.</w:t>
      </w:r>
    </w:p>
    <w:p>
      <w:pPr>
        <w:spacing w:before="0" w:after="0"/>
        <w:rPr>
          <w:sz w:val="22"/>
          <w:szCs w:val="22"/>
        </w:rPr>
      </w:pPr>
      <w:r>
        <w:rPr>
          <w:rFonts w:ascii="Arial" w:eastAsia="Arial" w:hAnsi="Arial" w:cs="Arial"/>
          <w:sz w:val="22"/>
          <w:szCs w:val="22"/>
        </w:rPr>
        <w:t> </w:t>
      </w:r>
    </w:p>
    <w:p>
      <w:pPr>
        <w:keepNext/>
        <w:spacing w:before="0" w:after="0" w:line="348" w:lineRule="auto"/>
        <w:ind w:right="180"/>
        <w:rPr>
          <w:rFonts w:ascii="Times New Roman" w:eastAsia="Times New Roman" w:hAnsi="Times New Roman" w:cs="Times New Roman"/>
        </w:rPr>
      </w:pPr>
    </w:p>
    <w:p>
      <w:pPr>
        <w:keepNext/>
        <w:spacing w:before="0" w:after="0" w:line="348" w:lineRule="auto"/>
        <w:ind w:right="180"/>
        <w:rPr>
          <w:rFonts w:ascii="Times New Roman" w:eastAsia="Times New Roman" w:hAnsi="Times New Roman" w:cs="Times New Roman"/>
        </w:rPr>
      </w:pPr>
    </w:p>
    <w:p>
      <w:pPr>
        <w:spacing w:before="0" w:after="0" w:line="348" w:lineRule="auto"/>
        <w:rPr>
          <w:rFonts w:ascii="Times New Roman" w:eastAsia="Times New Roman" w:hAnsi="Times New Roman" w:cs="Times New Roman"/>
        </w:rPr>
      </w:pPr>
    </w:p>
    <w:p>
      <w:pPr>
        <w:keepNext/>
        <w:keepLines/>
        <w:widowControl w:val="0"/>
        <w:spacing w:before="0" w:after="0" w:line="348" w:lineRule="auto"/>
        <w:rPr>
          <w:rFonts w:ascii="Times New Roman" w:eastAsia="Times New Roman" w:hAnsi="Times New Roman" w:cs="Times New Roman"/>
        </w:rPr>
      </w:pPr>
    </w:p>
    <w:p>
      <w:pPr>
        <w:keepNext/>
        <w:keepLines/>
        <w:widowControl w:val="0"/>
        <w:spacing w:before="0" w:after="0" w:line="348" w:lineRule="auto"/>
        <w:rPr>
          <w:sz w:val="22"/>
          <w:szCs w:val="22"/>
        </w:rPr>
      </w:pPr>
      <w:r>
        <w:rPr>
          <w:rFonts w:ascii="Arial" w:eastAsia="Arial" w:hAnsi="Arial" w:cs="Arial"/>
          <w:sz w:val="22"/>
          <w:szCs w:val="22"/>
        </w:rPr>
        <w:t># # #</w:t>
      </w:r>
    </w:p>
    <w:p>
      <w:pPr>
        <w:keepNext/>
        <w:keepLines/>
        <w:widowControl w:val="0"/>
        <w:spacing w:before="0" w:after="0"/>
        <w:rPr>
          <w:rFonts w:ascii="Times New Roman" w:eastAsia="Times New Roman" w:hAnsi="Times New Roman" w:cs="Times New Roman"/>
        </w:rPr>
      </w:pPr>
    </w:p>
    <w:p>
      <w:pPr>
        <w:keepNext/>
        <w:keepLines/>
        <w:widowControl w:val="0"/>
        <w:spacing w:before="0" w:after="0" w:line="348" w:lineRule="auto"/>
        <w:ind w:right="180"/>
        <w:rPr>
          <w:sz w:val="22"/>
          <w:szCs w:val="22"/>
        </w:rPr>
      </w:pPr>
      <w:r>
        <w:rPr>
          <w:rFonts w:ascii="Arial" w:eastAsia="Arial" w:hAnsi="Arial" w:cs="Arial"/>
          <w:b/>
          <w:bCs/>
          <w:sz w:val="22"/>
          <w:szCs w:val="22"/>
        </w:rPr>
        <w:t>Media Contacts:</w:t>
      </w:r>
    </w:p>
    <w:p>
      <w:pPr>
        <w:keepNext/>
        <w:keepLines/>
        <w:widowControl w:val="0"/>
        <w:spacing w:before="0" w:after="0" w:line="348" w:lineRule="auto"/>
        <w:ind w:right="180"/>
        <w:rPr>
          <w:sz w:val="22"/>
          <w:szCs w:val="22"/>
        </w:rPr>
      </w:pPr>
      <w:r>
        <w:rPr>
          <w:rFonts w:ascii="Arial" w:eastAsia="Arial" w:hAnsi="Arial" w:cs="Arial"/>
          <w:sz w:val="22"/>
          <w:szCs w:val="22"/>
        </w:rPr>
        <w:t xml:space="preserve">Sean Collins, Conduent, +1-310-497-9205, </w:t>
      </w:r>
      <w:r>
        <w:rPr>
          <w:rFonts w:ascii="Arial" w:eastAsia="Arial" w:hAnsi="Arial" w:cs="Arial"/>
          <w:color w:val="0000FF"/>
          <w:sz w:val="22"/>
          <w:szCs w:val="22"/>
          <w:u w:val="single" w:color="0000FF"/>
        </w:rPr>
        <w:t>sean.collins2@conduent.com</w:t>
      </w:r>
    </w:p>
    <w:p>
      <w:pPr>
        <w:keepNext/>
        <w:keepLines/>
        <w:widowControl w:val="0"/>
        <w:spacing w:before="0" w:after="0"/>
        <w:rPr>
          <w:rFonts w:ascii="Times New Roman" w:eastAsia="Times New Roman" w:hAnsi="Times New Roman" w:cs="Times New Roman"/>
        </w:rPr>
      </w:pPr>
    </w:p>
    <w:p>
      <w:pPr>
        <w:keepNext/>
        <w:keepLines/>
        <w:widowControl w:val="0"/>
        <w:spacing w:before="0" w:after="0"/>
        <w:rPr>
          <w:rFonts w:ascii="Times New Roman" w:eastAsia="Times New Roman" w:hAnsi="Times New Roman" w:cs="Times New Roman"/>
        </w:rPr>
      </w:pPr>
    </w:p>
    <w:p>
      <w:pPr>
        <w:keepNext/>
        <w:keepLines/>
        <w:widowControl w:val="0"/>
        <w:spacing w:before="0" w:after="0" w:line="348" w:lineRule="auto"/>
        <w:ind w:right="180"/>
        <w:rPr>
          <w:sz w:val="22"/>
          <w:szCs w:val="22"/>
        </w:rPr>
      </w:pPr>
      <w:r>
        <w:rPr>
          <w:rFonts w:ascii="Arial" w:eastAsia="Arial" w:hAnsi="Arial" w:cs="Arial"/>
          <w:b/>
          <w:bCs/>
          <w:sz w:val="22"/>
          <w:szCs w:val="22"/>
        </w:rPr>
        <w:t>Investor Contacts:</w:t>
      </w:r>
    </w:p>
    <w:p>
      <w:pPr>
        <w:keepNext/>
        <w:keepLines/>
        <w:widowControl w:val="0"/>
        <w:spacing w:before="0" w:after="0" w:line="348" w:lineRule="auto"/>
        <w:ind w:right="180"/>
        <w:rPr>
          <w:sz w:val="22"/>
          <w:szCs w:val="22"/>
        </w:rPr>
      </w:pPr>
      <w:r>
        <w:rPr>
          <w:rFonts w:ascii="Arial" w:eastAsia="Arial" w:hAnsi="Arial" w:cs="Arial"/>
          <w:sz w:val="22"/>
          <w:szCs w:val="22"/>
        </w:rPr>
        <w:t xml:space="preserve">Alan Katz, Conduent, +1-973-526-7173, </w:t>
      </w:r>
      <w:r>
        <w:rPr>
          <w:rFonts w:ascii="Arial" w:eastAsia="Arial" w:hAnsi="Arial" w:cs="Arial"/>
          <w:color w:val="0000FF"/>
          <w:sz w:val="22"/>
          <w:szCs w:val="22"/>
          <w:u w:val="single" w:color="0000FF"/>
        </w:rPr>
        <w:t>alan.katz@conduent.com</w:t>
      </w:r>
    </w:p>
    <w:p>
      <w:pPr>
        <w:keepNext/>
        <w:keepLines/>
        <w:widowControl w:val="0"/>
        <w:spacing w:before="0" w:after="0" w:line="348" w:lineRule="auto"/>
        <w:ind w:right="180"/>
        <w:rPr>
          <w:sz w:val="22"/>
          <w:szCs w:val="22"/>
        </w:rPr>
      </w:pPr>
      <w:r>
        <w:rPr>
          <w:rFonts w:ascii="Arial" w:eastAsia="Arial" w:hAnsi="Arial" w:cs="Arial"/>
          <w:sz w:val="22"/>
          <w:szCs w:val="22"/>
        </w:rPr>
        <w:t xml:space="preserve">Rebecca Koar, Conduent, +1-862-308-7105, </w:t>
      </w:r>
      <w:r>
        <w:rPr>
          <w:rFonts w:ascii="Arial" w:eastAsia="Arial" w:hAnsi="Arial" w:cs="Arial"/>
          <w:color w:val="0000FF"/>
          <w:sz w:val="22"/>
          <w:szCs w:val="22"/>
          <w:u w:val="single" w:color="0000FF"/>
        </w:rPr>
        <w:t>rebecca.koar@conduent.com</w:t>
      </w:r>
    </w:p>
    <w:p>
      <w:pPr>
        <w:keepLines/>
        <w:widowControl w:val="0"/>
        <w:spacing w:before="0" w:after="0" w:line="348" w:lineRule="auto"/>
        <w:rPr>
          <w:rFonts w:ascii="Times New Roman" w:eastAsia="Times New Roman" w:hAnsi="Times New Roman" w:cs="Times New Roman"/>
        </w:rPr>
      </w:pPr>
    </w:p>
    <w:p>
      <w:pPr>
        <w:sectPr>
          <w:headerReference w:type="default" r:id="rId5"/>
          <w:footerReference w:type="default" r:id="rId6"/>
          <w:type w:val="continuous"/>
          <w:pgSz w:w="12240" w:h="15840"/>
          <w:pgMar w:top="855" w:right="990" w:bottom="855" w:left="990" w:header="708" w:footer="708"/>
          <w:cols w:space="708"/>
        </w:sectPr>
      </w:pPr>
    </w:p>
    <w:p>
      <w:pPr>
        <w:spacing w:before="180" w:after="0"/>
        <w:jc w:val="center"/>
        <w:rPr>
          <w:sz w:val="20"/>
          <w:szCs w:val="20"/>
        </w:rPr>
      </w:pPr>
      <w:bookmarkStart w:id="1" w:name="Section2"/>
      <w:bookmarkEnd w:id="1"/>
      <w:r>
        <w:rPr>
          <w:rFonts w:ascii="Arial" w:eastAsia="Arial" w:hAnsi="Arial" w:cs="Arial"/>
          <w:b/>
          <w:bCs/>
          <w:sz w:val="20"/>
          <w:szCs w:val="20"/>
        </w:rPr>
        <w:t>CONDUENT INCORPORATED</w:t>
      </w:r>
    </w:p>
    <w:p>
      <w:pPr>
        <w:spacing w:before="0" w:after="0"/>
        <w:jc w:val="center"/>
        <w:rPr>
          <w:sz w:val="20"/>
          <w:szCs w:val="20"/>
        </w:rPr>
      </w:pPr>
      <w:r>
        <w:rPr>
          <w:rFonts w:ascii="Arial" w:eastAsia="Arial" w:hAnsi="Arial" w:cs="Arial"/>
          <w:b/>
          <w:bCs/>
          <w:sz w:val="20"/>
          <w:szCs w:val="20"/>
        </w:rPr>
        <w:t>CONDENSED CONSOLIDATED STATEMENTS OF INCOME (LOSS) (UNAUDITED)</w:t>
      </w:r>
    </w:p>
    <w:p>
      <w:pPr>
        <w:spacing w:before="0" w:after="0"/>
        <w:jc w:val="center"/>
        <w:rPr>
          <w:rFonts w:ascii="Times New Roman" w:eastAsia="Times New Roman" w:hAnsi="Times New Roman" w:cs="Times New Roman"/>
        </w:rPr>
      </w:pPr>
    </w:p>
    <w:tbl>
      <w:tblPr>
        <w:tblW w:w="10230" w:type="dxa"/>
        <w:tblInd w:w="58" w:type="dxa"/>
        <w:tblCellMar>
          <w:top w:w="0" w:type="dxa"/>
          <w:left w:w="0" w:type="dxa"/>
          <w:bottom w:w="0" w:type="dxa"/>
          <w:right w:w="0" w:type="dxa"/>
        </w:tblCellMar>
      </w:tblPr>
      <w:tblGrid>
        <w:gridCol w:w="5736"/>
        <w:gridCol w:w="77"/>
        <w:gridCol w:w="177"/>
        <w:gridCol w:w="874"/>
        <w:gridCol w:w="77"/>
        <w:gridCol w:w="177"/>
        <w:gridCol w:w="847"/>
        <w:gridCol w:w="77"/>
        <w:gridCol w:w="177"/>
        <w:gridCol w:w="884"/>
        <w:gridCol w:w="77"/>
        <w:gridCol w:w="177"/>
        <w:gridCol w:w="874"/>
      </w:tblGrid>
      <w:tr>
        <w:tblPrEx>
          <w:tblW w:w="10230" w:type="dxa"/>
          <w:tblInd w:w="58" w:type="dxa"/>
          <w:tblCellMar>
            <w:top w:w="0" w:type="dxa"/>
            <w:left w:w="0" w:type="dxa"/>
            <w:bottom w:w="0" w:type="dxa"/>
            <w:right w:w="0" w:type="dxa"/>
          </w:tblCellMar>
        </w:tblPrEx>
        <w:trPr>
          <w:trHeight w:hRule="exact" w:val="420"/>
        </w:trPr>
        <w:tc>
          <w:tcPr>
            <w:tcW w:w="6180" w:type="dxa"/>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 </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93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96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30" w:type="dxa"/>
          <w:tblInd w:w="58" w:type="dxa"/>
          <w:tblCellMar>
            <w:top w:w="0" w:type="dxa"/>
            <w:left w:w="0" w:type="dxa"/>
            <w:bottom w:w="0" w:type="dxa"/>
            <w:right w:w="0" w:type="dxa"/>
          </w:tblCellMar>
        </w:tblPrEx>
        <w:trPr>
          <w:trHeight w:hRule="exact" w:val="240"/>
        </w:trPr>
        <w:tc>
          <w:tcPr>
            <w:tcW w:w="6180"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(in millions, except per share data)</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Revenue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1,098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1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1,304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3,368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4,111</w:t>
            </w:r>
          </w:p>
        </w:tc>
      </w:tr>
      <w:tr>
        <w:tblPrEx>
          <w:tblW w:w="10230" w:type="dxa"/>
          <w:tblInd w:w="58" w:type="dxa"/>
          <w:tblCellMar>
            <w:top w:w="0" w:type="dxa"/>
            <w:left w:w="0" w:type="dxa"/>
            <w:bottom w:w="0" w:type="dxa"/>
            <w:right w:w="0" w:type="dxa"/>
          </w:tblCellMar>
        </w:tblPrEx>
        <w:trPr>
          <w:trHeight w:hRule="exact" w:val="240"/>
        </w:trPr>
        <w:tc>
          <w:tcPr>
            <w:tcW w:w="618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Operating Costs and Expenses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Cost of Services (excluding depreciation and amortization)</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859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1,005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2,644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3,193</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Selling, general and administrative (excluding depreciation and amortization)</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427</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Research and development (excluding depreciation and amortization)</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Depreciation and amortization</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345</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Restructuring and related costs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68</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Interest expense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92</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extinguishment of debt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Goodwill impairment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divestitures and transaction costs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Litigation costs (recoveries), net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113</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(income) expenses,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Total Operating Costs and Expenses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1,112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1,556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4,839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4,363</w:t>
            </w:r>
          </w:p>
        </w:tc>
      </w:tr>
      <w:tr>
        <w:tblPrEx>
          <w:tblW w:w="10230" w:type="dxa"/>
          <w:tblInd w:w="58" w:type="dxa"/>
          <w:tblCellMar>
            <w:top w:w="0" w:type="dxa"/>
            <w:left w:w="0" w:type="dxa"/>
            <w:bottom w:w="0" w:type="dxa"/>
            <w:right w:w="0" w:type="dxa"/>
          </w:tblCellMar>
        </w:tblPrEx>
        <w:trPr>
          <w:trHeight w:hRule="exact" w:val="180"/>
        </w:trPr>
        <w:tc>
          <w:tcPr>
            <w:tcW w:w="618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Income (Loss) Before Income Taxes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(1,471)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(252)</w:t>
            </w:r>
          </w:p>
        </w:tc>
      </w:tr>
      <w:tr>
        <w:tblPrEx>
          <w:tblW w:w="10230" w:type="dxa"/>
          <w:tblInd w:w="58" w:type="dxa"/>
          <w:tblCellMar>
            <w:top w:w="0" w:type="dxa"/>
            <w:left w:w="0" w:type="dxa"/>
            <w:bottom w:w="0" w:type="dxa"/>
            <w:right w:w="0" w:type="dxa"/>
          </w:tblCellMar>
        </w:tblPrEx>
        <w:trPr>
          <w:trHeight w:hRule="exact" w:val="180"/>
        </w:trPr>
        <w:tc>
          <w:tcPr>
            <w:tcW w:w="618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tax expense (benefit)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24</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Net Income (Loss)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(276)</w:t>
            </w:r>
          </w:p>
        </w:tc>
      </w:tr>
      <w:tr>
        <w:tblPrEx>
          <w:tblW w:w="10230" w:type="dxa"/>
          <w:tblInd w:w="58" w:type="dxa"/>
          <w:tblCellMar>
            <w:top w:w="0" w:type="dxa"/>
            <w:left w:w="0" w:type="dxa"/>
            <w:bottom w:w="0" w:type="dxa"/>
            <w:right w:w="0" w:type="dxa"/>
          </w:tblCellMar>
        </w:tblPrEx>
        <w:trPr>
          <w:trHeight w:hRule="exact" w:val="180"/>
        </w:trPr>
        <w:tc>
          <w:tcPr>
            <w:tcW w:w="618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Net Income (Loss) per Share: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4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Basic</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(0.09)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(6.52)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(1.38)</w:t>
            </w:r>
          </w:p>
        </w:tc>
      </w:tr>
      <w:tr>
        <w:tblPrEx>
          <w:tblW w:w="10230" w:type="dxa"/>
          <w:tblInd w:w="58" w:type="dxa"/>
          <w:tblCellMar>
            <w:top w:w="0" w:type="dxa"/>
            <w:left w:w="0" w:type="dxa"/>
            <w:bottom w:w="0" w:type="dxa"/>
            <w:right w:w="0" w:type="dxa"/>
          </w:tblCellMar>
        </w:tblPrEx>
        <w:trPr>
          <w:trHeight w:hRule="exact" w:val="255"/>
        </w:trPr>
        <w:tc>
          <w:tcPr>
            <w:tcW w:w="618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Diluted</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(0.09)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(6.52)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8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(1.38)</w:t>
            </w:r>
          </w:p>
        </w:tc>
      </w:tr>
    </w:tbl>
    <w:p>
      <w:pPr>
        <w:spacing w:before="120" w:after="0"/>
        <w:rPr>
          <w:rFonts w:ascii="Times New Roman" w:eastAsia="Times New Roman" w:hAnsi="Times New Roman" w:cs="Times New Roman"/>
        </w:rPr>
      </w:pPr>
    </w:p>
    <w:p>
      <w:pPr>
        <w:spacing w:before="0" w:after="0"/>
        <w:jc w:val="center"/>
        <w:rPr>
          <w:rFonts w:ascii="Times New Roman" w:eastAsia="Times New Roman" w:hAnsi="Times New Roman" w:cs="Times New Roman"/>
        </w:rPr>
      </w:pPr>
    </w:p>
    <w:p>
      <w:pPr>
        <w:spacing w:before="60" w:after="0"/>
        <w:rPr>
          <w:rFonts w:ascii="Times New Roman" w:eastAsia="Times New Roman" w:hAnsi="Times New Roman" w:cs="Times New Roman"/>
        </w:rPr>
      </w:pPr>
    </w:p>
    <w:p>
      <w:pPr>
        <w:spacing w:before="0" w:after="0"/>
        <w:jc w:val="center"/>
        <w:rPr>
          <w:rFonts w:ascii="Times New Roman" w:eastAsia="Times New Roman" w:hAnsi="Times New Roman" w:cs="Times New Roman"/>
        </w:rPr>
      </w:pPr>
    </w:p>
    <w:p>
      <w:pPr>
        <w:sectPr>
          <w:type w:val="nextPage"/>
          <w:pgSz w:w="12240" w:h="15840"/>
          <w:pgMar w:top="855" w:right="990" w:bottom="855" w:left="990" w:header="708" w:footer="708"/>
          <w:cols w:space="708"/>
        </w:sectPr>
      </w:pPr>
    </w:p>
    <w:p>
      <w:pPr>
        <w:spacing w:before="180" w:after="0"/>
        <w:jc w:val="center"/>
        <w:rPr>
          <w:sz w:val="20"/>
          <w:szCs w:val="20"/>
        </w:rPr>
      </w:pPr>
      <w:bookmarkStart w:id="2" w:name="Section3"/>
      <w:bookmarkEnd w:id="2"/>
      <w:r>
        <w:rPr>
          <w:rFonts w:ascii="Arial" w:eastAsia="Arial" w:hAnsi="Arial" w:cs="Arial"/>
          <w:b/>
          <w:bCs/>
          <w:sz w:val="20"/>
          <w:szCs w:val="20"/>
        </w:rPr>
        <w:t>CONDUENT INCORPORATED</w:t>
      </w:r>
    </w:p>
    <w:p>
      <w:pPr>
        <w:spacing w:before="0" w:after="0"/>
        <w:jc w:val="center"/>
        <w:rPr>
          <w:sz w:val="20"/>
          <w:szCs w:val="20"/>
        </w:rPr>
      </w:pPr>
      <w:r>
        <w:rPr>
          <w:rFonts w:ascii="Arial" w:eastAsia="Arial" w:hAnsi="Arial" w:cs="Arial"/>
          <w:b/>
          <w:bCs/>
          <w:sz w:val="20"/>
          <w:szCs w:val="20"/>
        </w:rPr>
        <w:t>CONDENSED CONSOLIDATED STATEMENTS OF COMPREHENSIVE INCOME (LOSS) (UNAUDITED)</w:t>
      </w:r>
    </w:p>
    <w:p>
      <w:pPr>
        <w:spacing w:before="0" w:after="0"/>
        <w:jc w:val="center"/>
        <w:rPr>
          <w:rFonts w:ascii="Times New Roman" w:eastAsia="Times New Roman" w:hAnsi="Times New Roman" w:cs="Times New Roman"/>
        </w:rPr>
      </w:pPr>
    </w:p>
    <w:tbl>
      <w:tblPr>
        <w:tblW w:w="10200" w:type="dxa"/>
        <w:jc w:val="center"/>
        <w:tblInd w:w="58" w:type="dxa"/>
        <w:tblCellMar>
          <w:top w:w="0" w:type="dxa"/>
          <w:left w:w="0" w:type="dxa"/>
          <w:bottom w:w="0" w:type="dxa"/>
          <w:right w:w="0" w:type="dxa"/>
        </w:tblCellMar>
      </w:tblPr>
      <w:tblGrid>
        <w:gridCol w:w="5166"/>
        <w:gridCol w:w="77"/>
        <w:gridCol w:w="177"/>
        <w:gridCol w:w="993"/>
        <w:gridCol w:w="77"/>
        <w:gridCol w:w="177"/>
        <w:gridCol w:w="1003"/>
        <w:gridCol w:w="77"/>
        <w:gridCol w:w="177"/>
        <w:gridCol w:w="1018"/>
        <w:gridCol w:w="77"/>
        <w:gridCol w:w="177"/>
        <w:gridCol w:w="1003"/>
      </w:tblGrid>
      <w:tr>
        <w:tblPrEx>
          <w:tblW w:w="10200" w:type="dxa"/>
          <w:jc w:val="center"/>
          <w:tblInd w:w="58" w:type="dxa"/>
          <w:tblCellMar>
            <w:top w:w="0" w:type="dxa"/>
            <w:left w:w="0" w:type="dxa"/>
            <w:bottom w:w="0" w:type="dxa"/>
            <w:right w:w="0" w:type="dxa"/>
          </w:tblCellMar>
        </w:tblPrEx>
        <w:trPr>
          <w:trHeight w:hRule="exact" w:val="420"/>
          <w:jc w:val="center"/>
        </w:trPr>
        <w:tc>
          <w:tcPr>
            <w:tcW w:w="5520"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 </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26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26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(in millions)</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Net Income (Loss)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(276)</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Other Comprehensive Income (Loss),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Currency translation adjustments, net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(27)</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Reclassification of currency translation adjustments on divestitures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41</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Reclassification of divested benefit plans and other</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64</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Unrecognized gains (losses),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Other Comprehensive Income (Loss), Net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75</w:t>
            </w:r>
          </w:p>
        </w:tc>
      </w:tr>
      <w:tr>
        <w:tblPrEx>
          <w:tblW w:w="10200" w:type="dxa"/>
          <w:jc w:val="center"/>
          <w:tblInd w:w="58" w:type="dxa"/>
          <w:tblCellMar>
            <w:top w:w="0" w:type="dxa"/>
            <w:left w:w="0" w:type="dxa"/>
            <w:bottom w:w="0" w:type="dxa"/>
            <w:right w:w="0" w:type="dxa"/>
          </w:tblCellMar>
        </w:tblPrEx>
        <w:trPr>
          <w:trHeight w:hRule="exact" w:val="180"/>
          <w:jc w:val="center"/>
        </w:trPr>
        <w:tc>
          <w:tcPr>
            <w:tcW w:w="552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00" w:type="dxa"/>
          <w:jc w:val="center"/>
          <w:tblInd w:w="58" w:type="dxa"/>
          <w:tblCellMar>
            <w:top w:w="0" w:type="dxa"/>
            <w:left w:w="0" w:type="dxa"/>
            <w:bottom w:w="0" w:type="dxa"/>
            <w:right w:w="0" w:type="dxa"/>
          </w:tblCellMar>
        </w:tblPrEx>
        <w:trPr>
          <w:trHeight w:hRule="exact" w:val="255"/>
          <w:jc w:val="center"/>
        </w:trPr>
        <w:tc>
          <w:tcPr>
            <w:tcW w:w="5520"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Comprehensive Income (Loss), Net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(1,347)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w:t>
            </w:r>
          </w:p>
        </w:tc>
      </w:tr>
    </w:tbl>
    <w:p>
      <w:pPr>
        <w:spacing w:before="120" w:after="0"/>
        <w:rPr>
          <w:rFonts w:ascii="Times New Roman" w:eastAsia="Times New Roman" w:hAnsi="Times New Roman" w:cs="Times New Roman"/>
        </w:rPr>
      </w:pPr>
    </w:p>
    <w:p>
      <w:pPr>
        <w:sectPr>
          <w:type w:val="nextPage"/>
          <w:pgSz w:w="12240" w:h="15840"/>
          <w:pgMar w:top="855" w:right="990" w:bottom="855" w:left="990" w:header="708" w:footer="708"/>
          <w:cols w:space="708"/>
        </w:sectPr>
      </w:pPr>
    </w:p>
    <w:p>
      <w:pPr>
        <w:keepNext/>
        <w:keepLines/>
        <w:widowControl w:val="0"/>
        <w:spacing w:before="180" w:after="0"/>
        <w:jc w:val="center"/>
        <w:rPr>
          <w:sz w:val="20"/>
          <w:szCs w:val="20"/>
        </w:rPr>
      </w:pPr>
      <w:bookmarkStart w:id="3" w:name="Section4"/>
      <w:bookmarkEnd w:id="3"/>
      <w:r>
        <w:rPr>
          <w:rFonts w:ascii="Arial" w:eastAsia="Arial" w:hAnsi="Arial" w:cs="Arial"/>
          <w:b/>
          <w:bCs/>
          <w:sz w:val="20"/>
          <w:szCs w:val="20"/>
        </w:rPr>
        <w:t>CONDUENT INCORPORATED</w:t>
      </w:r>
    </w:p>
    <w:p>
      <w:pPr>
        <w:keepNext/>
        <w:keepLines/>
        <w:widowControl w:val="0"/>
        <w:spacing w:before="0" w:after="0"/>
        <w:jc w:val="center"/>
        <w:rPr>
          <w:sz w:val="20"/>
          <w:szCs w:val="20"/>
        </w:rPr>
      </w:pPr>
      <w:r>
        <w:rPr>
          <w:rFonts w:ascii="Arial" w:eastAsia="Arial" w:hAnsi="Arial" w:cs="Arial"/>
          <w:b/>
          <w:bCs/>
          <w:sz w:val="20"/>
          <w:szCs w:val="20"/>
        </w:rPr>
        <w:t>CONDENSED CONSOLIDATED BALANCE SHEETS (UNAUDITED)</w:t>
      </w:r>
    </w:p>
    <w:p>
      <w:pPr>
        <w:keepLines/>
        <w:widowControl w:val="0"/>
        <w:spacing w:before="0" w:after="0"/>
        <w:jc w:val="center"/>
        <w:rPr>
          <w:rFonts w:ascii="Times New Roman" w:eastAsia="Times New Roman" w:hAnsi="Times New Roman" w:cs="Times New Roman"/>
        </w:rPr>
      </w:pPr>
    </w:p>
    <w:tbl>
      <w:tblPr>
        <w:tblW w:w="10215" w:type="dxa"/>
        <w:tblInd w:w="58" w:type="dxa"/>
        <w:tblCellMar>
          <w:top w:w="0" w:type="dxa"/>
          <w:left w:w="0" w:type="dxa"/>
          <w:bottom w:w="0" w:type="dxa"/>
          <w:right w:w="0" w:type="dxa"/>
        </w:tblCellMar>
      </w:tblPr>
      <w:tblGrid>
        <w:gridCol w:w="6691"/>
        <w:gridCol w:w="81"/>
        <w:gridCol w:w="177"/>
        <w:gridCol w:w="1505"/>
        <w:gridCol w:w="81"/>
        <w:gridCol w:w="177"/>
        <w:gridCol w:w="1502"/>
      </w:tblGrid>
      <w:tr>
        <w:tblPrEx>
          <w:tblW w:w="10215" w:type="dxa"/>
          <w:tblInd w:w="58" w:type="dxa"/>
          <w:tblCellMar>
            <w:top w:w="0" w:type="dxa"/>
            <w:left w:w="0" w:type="dxa"/>
            <w:bottom w:w="0" w:type="dxa"/>
            <w:right w:w="0" w:type="dxa"/>
          </w:tblCellMar>
        </w:tblPrEx>
        <w:trPr>
          <w:trHeight w:hRule="exact" w:val="420"/>
        </w:trPr>
        <w:tc>
          <w:tcPr>
            <w:tcW w:w="691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(in millions, except share data in thousands)</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September 30, 2019</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December 31, 2018</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Assets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Cash and cash equivalents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756</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Accounts receivable, net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840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782</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Assets held for sale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Contract assets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177</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current assets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234</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current assets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1,546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1,964</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Land, buildings and equipment,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328</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Operating lease right-of-use assets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290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Intangible assets,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487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651</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Goodwill</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2,090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3,408</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long-term assets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370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329</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bCs/>
                <w:i w:val="0"/>
                <w:iCs w:val="0"/>
                <w:smallCaps w:val="0"/>
                <w:color w:val="000000"/>
                <w:sz w:val="16"/>
                <w:szCs w:val="16"/>
              </w:rPr>
              <w:t>Total Assets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5,114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6,680</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Liabilities and Equity</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Current portion of long-term debt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55</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Accounts payable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230</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Accrued compensation and benefits costs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193</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Unearned income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112</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Liabilities held for sale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40</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current liabilities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693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567</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current liabilities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1,123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1,197</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Long-term debt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1,468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1,512</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Deferred taxes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327</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Operating lease liabilities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245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long-term liabilities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280</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bCs/>
                <w:i w:val="0"/>
                <w:iCs w:val="0"/>
                <w:smallCaps w:val="0"/>
                <w:color w:val="000000"/>
                <w:sz w:val="16"/>
                <w:szCs w:val="16"/>
              </w:rPr>
              <w:t>Total Liabilities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3,104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3,316</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 </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Series A convertible preferred stock</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142</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Common stock</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Additional paid-in capital</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3,886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3,878</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Retained earnings (deficit)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(1,601)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(233)</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Accumulated other comprehensive loss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(419)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(425)</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bCs/>
                <w:i w:val="0"/>
                <w:iCs w:val="0"/>
                <w:smallCaps w:val="0"/>
                <w:color w:val="000000"/>
                <w:sz w:val="16"/>
                <w:szCs w:val="16"/>
              </w:rPr>
              <w:t>Total Equity</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1,868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3,222</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bCs/>
                <w:i w:val="0"/>
                <w:iCs w:val="0"/>
                <w:smallCaps w:val="0"/>
                <w:color w:val="000000"/>
                <w:sz w:val="16"/>
                <w:szCs w:val="16"/>
              </w:rPr>
              <w:t>Total Liabilities and Equity</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5,114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47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6,680</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Shares of common stock issued and outstanding</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211,364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211,306</w:t>
            </w:r>
          </w:p>
        </w:tc>
      </w:tr>
      <w:tr>
        <w:tblPrEx>
          <w:tblW w:w="10215" w:type="dxa"/>
          <w:tblInd w:w="58" w:type="dxa"/>
          <w:tblCellMar>
            <w:top w:w="0" w:type="dxa"/>
            <w:left w:w="0" w:type="dxa"/>
            <w:bottom w:w="0" w:type="dxa"/>
            <w:right w:w="0" w:type="dxa"/>
          </w:tblCellMar>
        </w:tblPrEx>
        <w:trPr>
          <w:trHeight w:hRule="exact" w:val="255"/>
        </w:trPr>
        <w:tc>
          <w:tcPr>
            <w:tcW w:w="691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Shares of series A convertible preferred stock issued and outstanding</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57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120</w:t>
            </w:r>
          </w:p>
        </w:tc>
      </w:tr>
    </w:tbl>
    <w:p>
      <w:pPr>
        <w:spacing w:before="120" w:after="0"/>
        <w:rPr>
          <w:rFonts w:ascii="Times New Roman" w:eastAsia="Times New Roman" w:hAnsi="Times New Roman" w:cs="Times New Roman"/>
        </w:rPr>
      </w:pPr>
    </w:p>
    <w:p>
      <w:pPr>
        <w:sectPr>
          <w:type w:val="nextPage"/>
          <w:pgSz w:w="12240" w:h="15840"/>
          <w:pgMar w:top="855" w:right="990" w:bottom="855" w:left="990" w:header="708" w:footer="708"/>
          <w:cols w:space="708"/>
        </w:sectPr>
      </w:pPr>
    </w:p>
    <w:p>
      <w:pPr>
        <w:spacing w:before="180" w:after="0"/>
        <w:jc w:val="center"/>
        <w:rPr>
          <w:sz w:val="20"/>
          <w:szCs w:val="20"/>
        </w:rPr>
      </w:pPr>
      <w:bookmarkStart w:id="4" w:name="Section5"/>
      <w:bookmarkEnd w:id="4"/>
      <w:r>
        <w:rPr>
          <w:rFonts w:ascii="Arial" w:eastAsia="Arial" w:hAnsi="Arial" w:cs="Arial"/>
          <w:b/>
          <w:bCs/>
          <w:sz w:val="20"/>
          <w:szCs w:val="20"/>
        </w:rPr>
        <w:t>CONDUENT INCORPORATED</w:t>
      </w:r>
    </w:p>
    <w:p>
      <w:pPr>
        <w:spacing w:before="0" w:after="0"/>
        <w:jc w:val="center"/>
        <w:rPr>
          <w:sz w:val="20"/>
          <w:szCs w:val="20"/>
        </w:rPr>
      </w:pPr>
      <w:r>
        <w:rPr>
          <w:rFonts w:ascii="Arial" w:eastAsia="Arial" w:hAnsi="Arial" w:cs="Arial"/>
          <w:b/>
          <w:bCs/>
          <w:sz w:val="20"/>
          <w:szCs w:val="20"/>
        </w:rPr>
        <w:t>CONDENSED CONSOLIDATED STATEMENTS OF CASH FLOWS (UNAUDITED)</w:t>
      </w:r>
    </w:p>
    <w:p>
      <w:pPr>
        <w:keepNext/>
        <w:keepLines/>
        <w:widowControl w:val="0"/>
        <w:spacing w:before="60" w:after="0"/>
        <w:ind w:left="360"/>
        <w:rPr>
          <w:rFonts w:ascii="Times New Roman" w:eastAsia="Times New Roman" w:hAnsi="Times New Roman" w:cs="Times New Roman"/>
        </w:rPr>
      </w:pPr>
    </w:p>
    <w:tbl>
      <w:tblPr>
        <w:tblW w:w="10260" w:type="dxa"/>
        <w:tblInd w:w="58" w:type="dxa"/>
        <w:tblCellMar>
          <w:top w:w="0" w:type="dxa"/>
          <w:left w:w="0" w:type="dxa"/>
          <w:bottom w:w="0" w:type="dxa"/>
          <w:right w:w="0" w:type="dxa"/>
        </w:tblCellMar>
      </w:tblPr>
      <w:tblGrid>
        <w:gridCol w:w="7082"/>
        <w:gridCol w:w="67"/>
        <w:gridCol w:w="177"/>
        <w:gridCol w:w="1342"/>
        <w:gridCol w:w="81"/>
        <w:gridCol w:w="177"/>
        <w:gridCol w:w="1334"/>
      </w:tblGrid>
      <w:tr>
        <w:tblPrEx>
          <w:tblW w:w="10260" w:type="dxa"/>
          <w:tblInd w:w="58" w:type="dxa"/>
          <w:tblCellMar>
            <w:top w:w="0" w:type="dxa"/>
            <w:left w:w="0" w:type="dxa"/>
            <w:bottom w:w="0" w:type="dxa"/>
            <w:right w:w="0" w:type="dxa"/>
          </w:tblCellMar>
        </w:tblPrEx>
        <w:trPr>
          <w:trHeight w:hRule="exact" w:val="255"/>
        </w:trPr>
        <w:tc>
          <w:tcPr>
            <w:tcW w:w="730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 </w:t>
            </w:r>
          </w:p>
        </w:tc>
        <w:tc>
          <w:tcPr>
            <w:tcW w:w="6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89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Nine Months Ended September 30,</w:t>
            </w:r>
          </w:p>
        </w:tc>
      </w:tr>
      <w:tr>
        <w:tblPrEx>
          <w:tblW w:w="10260" w:type="dxa"/>
          <w:tblInd w:w="58" w:type="dxa"/>
          <w:tblCellMar>
            <w:top w:w="0" w:type="dxa"/>
            <w:left w:w="0" w:type="dxa"/>
            <w:bottom w:w="0" w:type="dxa"/>
            <w:right w:w="0" w:type="dxa"/>
          </w:tblCellMar>
        </w:tblPrEx>
        <w:trPr>
          <w:trHeight w:hRule="exact" w:val="255"/>
        </w:trPr>
        <w:tc>
          <w:tcPr>
            <w:tcW w:w="730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(in millions)</w:t>
            </w:r>
          </w:p>
        </w:tc>
        <w:tc>
          <w:tcPr>
            <w:tcW w:w="60"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Cash Flows from Operating Activities: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Net income (loss)</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310"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310"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(276)</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Adjustments required to reconcile net income (loss) to cash flows from operating activities: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Depreciation and amortization</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345</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Contract inducement amortization</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Deferred income taxes</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(90)</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Goodwill impairment</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from investments</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Amortization of debt financing costs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extinguishment of debt</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divestitures and transaction costs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Stock-based compensation</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Changes in operating assets and liabilities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(450)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(102)</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operating, net</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72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Net cash provided by (used in) operating activities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Cash Flows from Investing Activities:</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Cost of additions to land, buildings and equipment</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(119)</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Proceeds from sale of land, buildings and equipment</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Cost of additions to internal use software</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Payments for acquisitions, net of cash acquired</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Proceeds from divestitures and sale of assets, net of cash</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672</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Payments from divestitures, including cash sold</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72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Net cash provided by (used in) investing activities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534</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Cash Flows from Financing Activities:</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Debt issuance fee payments</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Payments on debt</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(513)</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Premium on debt redemption</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(95)</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Taxes paid for settlement of stock based compensation</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ind w:left="36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Dividends paid on preferred stock</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ind w:left="720"/>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Net cash provided by (used in) financing activities</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(627)</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Effect of exchange rate changes on cash, cash equivalents and restricted cash</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Increase (decrease) in cash, cash equivalents and restricted cash</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(529)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(72)</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Cash, Cash Equivalents and Restricted Cash at Beginning of Period</w:t>
            </w:r>
          </w:p>
        </w:tc>
        <w:tc>
          <w:tcPr>
            <w:tcW w:w="60"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765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41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667</w:t>
            </w:r>
          </w:p>
        </w:tc>
      </w:tr>
      <w:tr>
        <w:tblPrEx>
          <w:tblW w:w="10260" w:type="dxa"/>
          <w:tblInd w:w="58" w:type="dxa"/>
          <w:tblCellMar>
            <w:top w:w="0" w:type="dxa"/>
            <w:left w:w="0" w:type="dxa"/>
            <w:bottom w:w="0" w:type="dxa"/>
            <w:right w:w="0" w:type="dxa"/>
          </w:tblCellMar>
        </w:tblPrEx>
        <w:trPr>
          <w:trHeight w:hRule="exact" w:val="255"/>
        </w:trPr>
        <w:tc>
          <w:tcPr>
            <w:tcW w:w="730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Cash, Cash Equivalents and Restricted Cash at End of period</w:t>
            </w:r>
            <w:r>
              <w:rPr>
                <w:rFonts w:ascii="Arial" w:eastAsia="Arial" w:hAnsi="Arial" w:cs="Arial"/>
                <w:b/>
                <w:bCs/>
                <w:i w:val="0"/>
                <w:iCs w:val="0"/>
                <w:smallCaps w:val="0"/>
                <w:color w:val="000000"/>
                <w:sz w:val="16"/>
                <w:szCs w:val="16"/>
                <w:vertAlign w:val="superscript"/>
              </w:rPr>
              <w:t>(1)</w:t>
            </w:r>
          </w:p>
        </w:tc>
        <w:tc>
          <w:tcPr>
            <w:tcW w:w="60"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31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31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595</w:t>
            </w:r>
          </w:p>
        </w:tc>
      </w:tr>
    </w:tbl>
    <w:p>
      <w:pPr>
        <w:spacing w:before="120" w:after="0"/>
        <w:rPr>
          <w:sz w:val="14"/>
          <w:szCs w:val="14"/>
        </w:rPr>
      </w:pPr>
      <w:r>
        <w:rPr>
          <w:rFonts w:ascii="Arial" w:eastAsia="Arial" w:hAnsi="Arial" w:cs="Arial"/>
          <w:sz w:val="14"/>
          <w:szCs w:val="14"/>
        </w:rPr>
        <w:t> </w:t>
      </w:r>
      <w:r>
        <w:rPr>
          <w:rFonts w:ascii="Arial" w:eastAsia="Arial" w:hAnsi="Arial" w:cs="Arial"/>
          <w:sz w:val="14"/>
          <w:szCs w:val="14"/>
        </w:rPr>
        <w:t>___________</w:t>
      </w:r>
    </w:p>
    <w:p>
      <w:pPr>
        <w:spacing w:before="60" w:after="0"/>
        <w:ind w:left="360" w:hanging="360"/>
        <w:rPr>
          <w:sz w:val="16"/>
          <w:szCs w:val="16"/>
        </w:rPr>
      </w:pPr>
      <w:r>
        <w:rPr>
          <w:rFonts w:ascii="Arial" w:eastAsia="Arial" w:hAnsi="Arial" w:cs="Arial"/>
          <w:sz w:val="16"/>
          <w:szCs w:val="16"/>
        </w:rPr>
        <w:t>(1)</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6"/>
          <w:szCs w:val="16"/>
        </w:rPr>
        <w:t xml:space="preserve">Includes </w:t>
      </w:r>
      <w:r>
        <w:rPr>
          <w:rFonts w:ascii="Arial" w:eastAsia="Arial" w:hAnsi="Arial" w:cs="Arial"/>
          <w:i/>
          <w:iCs/>
          <w:sz w:val="16"/>
          <w:szCs w:val="16"/>
        </w:rPr>
        <w:t>$8 million</w:t>
      </w:r>
      <w:r>
        <w:rPr>
          <w:rFonts w:ascii="Arial" w:eastAsia="Arial" w:hAnsi="Arial" w:cs="Arial"/>
          <w:i/>
          <w:iCs/>
          <w:sz w:val="16"/>
          <w:szCs w:val="16"/>
        </w:rPr>
        <w:t xml:space="preserve"> and </w:t>
      </w:r>
      <w:r>
        <w:rPr>
          <w:rFonts w:ascii="Arial" w:eastAsia="Arial" w:hAnsi="Arial" w:cs="Arial"/>
          <w:i/>
          <w:iCs/>
          <w:sz w:val="16"/>
          <w:szCs w:val="16"/>
        </w:rPr>
        <w:t>$9 million</w:t>
      </w:r>
      <w:r>
        <w:rPr>
          <w:rFonts w:ascii="Arial" w:eastAsia="Arial" w:hAnsi="Arial" w:cs="Arial"/>
          <w:i/>
          <w:iCs/>
          <w:sz w:val="16"/>
          <w:szCs w:val="16"/>
        </w:rPr>
        <w:t xml:space="preserve"> of restricted cash as of </w:t>
      </w:r>
      <w:r>
        <w:rPr>
          <w:rFonts w:ascii="Arial" w:eastAsia="Arial" w:hAnsi="Arial" w:cs="Arial"/>
          <w:i/>
          <w:iCs/>
          <w:sz w:val="16"/>
          <w:szCs w:val="16"/>
        </w:rPr>
        <w:t>September 30, 2019</w:t>
      </w:r>
      <w:r>
        <w:rPr>
          <w:rFonts w:ascii="Arial" w:eastAsia="Arial" w:hAnsi="Arial" w:cs="Arial"/>
          <w:i/>
          <w:iCs/>
          <w:sz w:val="16"/>
          <w:szCs w:val="16"/>
        </w:rPr>
        <w:t xml:space="preserve"> and </w:t>
      </w:r>
      <w:r>
        <w:rPr>
          <w:rFonts w:ascii="Arial" w:eastAsia="Arial" w:hAnsi="Arial" w:cs="Arial"/>
          <w:i/>
          <w:iCs/>
          <w:sz w:val="16"/>
          <w:szCs w:val="16"/>
        </w:rPr>
        <w:t>2018</w:t>
      </w:r>
      <w:r>
        <w:rPr>
          <w:rFonts w:ascii="Arial" w:eastAsia="Arial" w:hAnsi="Arial" w:cs="Arial"/>
          <w:i/>
          <w:iCs/>
          <w:sz w:val="16"/>
          <w:szCs w:val="16"/>
        </w:rPr>
        <w:t>, respectively, that were included in Other current assets on the Condensed Consolidated Balance Sheets.</w:t>
      </w:r>
    </w:p>
    <w:p>
      <w:pPr>
        <w:spacing w:before="0" w:after="0"/>
        <w:rPr>
          <w:rFonts w:ascii="Times New Roman" w:eastAsia="Times New Roman" w:hAnsi="Times New Roman" w:cs="Times New Roman"/>
        </w:rPr>
      </w:pPr>
    </w:p>
    <w:p>
      <w:pPr>
        <w:sectPr>
          <w:type w:val="nextPage"/>
          <w:pgSz w:w="12240" w:h="15840"/>
          <w:pgMar w:top="855" w:right="990" w:bottom="855" w:left="990" w:header="708" w:footer="708"/>
          <w:cols w:space="708"/>
        </w:sectPr>
      </w:pPr>
    </w:p>
    <w:p>
      <w:pPr>
        <w:keepNext/>
        <w:keepLines/>
        <w:widowControl w:val="0"/>
        <w:spacing w:before="0" w:after="0"/>
        <w:rPr>
          <w:sz w:val="20"/>
          <w:szCs w:val="20"/>
        </w:rPr>
      </w:pPr>
      <w:bookmarkStart w:id="5" w:name="Section6"/>
      <w:bookmarkEnd w:id="5"/>
      <w:r>
        <w:rPr>
          <w:rFonts w:ascii="Arial" w:eastAsia="Arial" w:hAnsi="Arial" w:cs="Arial"/>
          <w:b/>
          <w:bCs/>
          <w:sz w:val="20"/>
          <w:szCs w:val="20"/>
        </w:rPr>
        <w:t>Non-GAAP Financial Measures</w:t>
      </w:r>
      <w:r>
        <w:rPr>
          <w:rFonts w:ascii="Arial" w:eastAsia="Arial" w:hAnsi="Arial" w:cs="Arial"/>
          <w:sz w:val="20"/>
          <w:szCs w:val="20"/>
        </w:rPr>
        <w:t xml:space="preserve"> </w:t>
      </w:r>
    </w:p>
    <w:p>
      <w:pPr>
        <w:keepNext/>
        <w:keepLines/>
        <w:widowControl w:val="0"/>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sz w:val="20"/>
          <w:szCs w:val="20"/>
        </w:rPr>
        <w:t>We have reported our financial results in accordance with U.S. GAAP. In addition, we have discussed our results using non-GAAP measures.</w:t>
      </w:r>
    </w:p>
    <w:p>
      <w:pPr>
        <w:keepNext/>
        <w:keepLines/>
        <w:widowControl w:val="0"/>
        <w:spacing w:before="0" w:after="0"/>
        <w:rPr>
          <w:rFonts w:ascii="Times New Roman" w:eastAsia="Times New Roman" w:hAnsi="Times New Roman" w:cs="Times New Roman"/>
        </w:rPr>
      </w:pPr>
    </w:p>
    <w:p>
      <w:pPr>
        <w:keepLines/>
        <w:widowControl w:val="0"/>
        <w:spacing w:before="0" w:after="0"/>
        <w:rPr>
          <w:sz w:val="20"/>
          <w:szCs w:val="20"/>
        </w:rPr>
      </w:pPr>
      <w:r>
        <w:rPr>
          <w:rFonts w:ascii="Arial" w:eastAsia="Arial" w:hAnsi="Arial" w:cs="Arial"/>
          <w:sz w:val="20"/>
          <w:szCs w:val="20"/>
        </w:rPr>
        <w:t>We believe these non-GAAP measures allow investors to better understand the trends in our business and to better understand and compare our results. Accordingly, we believe it is necessary to adjust several reported amounts, determined in accordance with GAAP, to exclude the effects of certain items as well as their related tax effects. Management believes that these non-GAAP financial measures provide an additional means of analyzing the current periods’ results against the corresponding prior periods’ results. However, these non-GAAP financial measures should be viewed in addition to, and not as a substitute for, the Company’s reported results prepared in accordance with U.S. GAAP. Our non-GAAP financial measures are not meant to be considered in isolation or as a substitute for comparable U.S. GAAP measures and should be read only in conjunction with our</w:t>
      </w:r>
      <w:r>
        <w:rPr>
          <w:rFonts w:ascii="Arial" w:eastAsia="Arial" w:hAnsi="Arial" w:cs="Arial"/>
          <w:sz w:val="20"/>
          <w:szCs w:val="20"/>
        </w:rPr>
        <w:t xml:space="preserve"> Consolidated Financial Statements prepared in accordance with U.S. GAAP. Our management regularly uses our supplemental non-GAAP financial measures internally to understand, manage and evaluate our business and make operating decisions, and providing such non-GAAP financial measures to investors allows for a further level of transparency as to how management reviews and evaluates our business results and trends. These non-GAAP measures are among the primary factors management uses in planning for and forecasting future periods. Compensation of our executives is based in part on the performance of our business based on certain non-GAAP measures.</w:t>
      </w:r>
    </w:p>
    <w:p>
      <w:pPr>
        <w:spacing w:before="0" w:after="0"/>
        <w:rPr>
          <w:sz w:val="20"/>
          <w:szCs w:val="20"/>
        </w:rPr>
      </w:pPr>
      <w:r>
        <w:rPr>
          <w:rFonts w:ascii="Arial" w:eastAsia="Arial" w:hAnsi="Arial" w:cs="Arial"/>
          <w:sz w:val="20"/>
          <w:szCs w:val="20"/>
        </w:rPr>
        <w:t> </w:t>
      </w:r>
    </w:p>
    <w:p>
      <w:pPr>
        <w:spacing w:before="0" w:after="0"/>
        <w:rPr>
          <w:sz w:val="20"/>
          <w:szCs w:val="20"/>
        </w:rPr>
      </w:pPr>
      <w:r>
        <w:rPr>
          <w:rFonts w:ascii="Arial" w:eastAsia="Arial" w:hAnsi="Arial" w:cs="Arial"/>
          <w:sz w:val="20"/>
          <w:szCs w:val="20"/>
        </w:rPr>
        <w:t>A reconciliation of the non-GAAP financial measures to the most directly comparable financial measures calculated and presented in accordance with GAAP are provided below.</w:t>
      </w:r>
    </w:p>
    <w:p>
      <w:pPr>
        <w:spacing w:before="0" w:after="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These reconciliations also include the income tax effects for our non-GAAP performance measures in total, to the extent applicable. The income tax effects are calculated under the same accounting principles as applied to our reported pre-tax performance measures under ASC 740, which employs an annual effective tax rate method. The noted income tax effect for our non-GAAP performance measures is effectively the difference in income taxes for reported and adjusted pre-tax income calculated under the annual effective tax rate method. The tax effect of the non-GAAP adjustments was calculated based upon evaluation of the statutory tax treatment and the applicable statutory tax rate in the jurisdictions in which such charges were incurred.</w:t>
      </w:r>
    </w:p>
    <w:p>
      <w:pPr>
        <w:keepNext/>
        <w:keepLines/>
        <w:widowControl w:val="0"/>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Adjusted Net Income (Loss), Adjusted Earnings per Share and Adjusted Effective Tax Rate</w:t>
      </w:r>
    </w:p>
    <w:p>
      <w:pPr>
        <w:spacing w:before="0" w:after="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 xml:space="preserve">We make adjustments to Income (Loss) before Income Taxes for the following items, as applicable to the particular </w:t>
      </w:r>
      <w:r>
        <w:rPr>
          <w:rFonts w:ascii="Arial" w:eastAsia="Arial" w:hAnsi="Arial" w:cs="Arial"/>
          <w:sz w:val="20"/>
          <w:szCs w:val="20"/>
        </w:rPr>
        <w:t xml:space="preserve">financial </w:t>
      </w:r>
      <w:r>
        <w:rPr>
          <w:rFonts w:ascii="Arial" w:eastAsia="Arial" w:hAnsi="Arial" w:cs="Arial"/>
          <w:sz w:val="20"/>
          <w:szCs w:val="20"/>
        </w:rPr>
        <w:t>measure</w:t>
      </w:r>
      <w:r>
        <w:rPr>
          <w:rFonts w:ascii="Arial" w:eastAsia="Arial" w:hAnsi="Arial" w:cs="Arial"/>
          <w:sz w:val="20"/>
          <w:szCs w:val="20"/>
        </w:rPr>
        <w:t>,</w:t>
      </w:r>
      <w:r>
        <w:rPr>
          <w:rFonts w:ascii="Arial" w:eastAsia="Arial" w:hAnsi="Arial" w:cs="Arial"/>
          <w:sz w:val="20"/>
          <w:szCs w:val="20"/>
        </w:rPr>
        <w:t xml:space="preserve"> for the purpose of calculating Adjusted Net Income (Loss), Adjusted Earnings per Share and Adjusted Effective Tax Rate:</w:t>
      </w:r>
    </w:p>
    <w:p>
      <w:pPr>
        <w:spacing w:before="0" w:after="0"/>
        <w:rPr>
          <w:rFonts w:ascii="Times New Roman" w:eastAsia="Times New Roman" w:hAnsi="Times New Roman" w:cs="Times New Roman"/>
        </w:rPr>
      </w:pP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Amortization of acquired intangible assets. The amortization of acquired intangible assets is driven by acquisition activity, which can vary in size, nature and timing as compared to other companies within our industry and from period to period.</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Restructuring and related costs. Restructuring and related costs include restructuring and asset impairment charges as well as costs associated with our strategic transformation program.</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(Gain) loss on extinguishment of debt. Represents premium on debt extinguishment and the write down of the associated unamortized discount and issuance costs.</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Goodwill impairment. This represents Goodwill impairment charge related to the unanticipated losses of certain customer contracts, lower potential future volumes and lower than expected new customer contracts for all reporting units.</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(Gain) loss on divestitures and transaction costs. Represents (gain) loss on divested businesses and transaction costs.</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Litigation costs (recoveries), net. Litigation costs (recoveries), net primarily represents accruals for the State of Texas litigation, Student Loan Service exposures and certain terminated contracts that are subject to litigation.</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Other charge (credit). This comprises other (income) expenses, net,</w:t>
      </w:r>
      <w:r>
        <w:rPr>
          <w:rFonts w:ascii="Arial" w:eastAsia="Arial" w:hAnsi="Arial" w:cs="Arial"/>
          <w:sz w:val="20"/>
          <w:szCs w:val="20"/>
        </w:rPr>
        <w:t xml:space="preserve"> and costs associated with the Company not fully completing the State of New York Health Enterprise Platform project and the Health Enterprise Medical platform projects in California and Montana and other adjustments.</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2018 Divestitures. Revenue/(Income) loss from divestitures.</w:t>
      </w:r>
    </w:p>
    <w:p>
      <w:pPr>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sz w:val="20"/>
          <w:szCs w:val="20"/>
        </w:rPr>
        <w:t>The Company provides adjusted net income and adjusted EPS financial measures to assist our investors in evaluating our ongoing operating performance for the current reporting period and, where provided, over different reporting periods, by adjusting for certain items which may be recurring or non-recurring and which in our view do not necessarily reflect ongoing performance.</w:t>
      </w:r>
      <w:r>
        <w:rPr>
          <w:rFonts w:ascii="Arial" w:eastAsia="Arial" w:hAnsi="Arial" w:cs="Arial"/>
          <w:sz w:val="20"/>
          <w:szCs w:val="20"/>
        </w:rPr>
        <w:t> </w:t>
      </w:r>
      <w:r>
        <w:rPr>
          <w:rFonts w:ascii="Arial" w:eastAsia="Arial" w:hAnsi="Arial" w:cs="Arial"/>
          <w:sz w:val="20"/>
          <w:szCs w:val="20"/>
        </w:rPr>
        <w:t xml:space="preserve"> We also internally use these measures to assess our operating performance, both absolutely and in comparison to other companies, and in evaluating or making selected compensation decisions.</w:t>
      </w:r>
    </w:p>
    <w:p>
      <w:pPr>
        <w:keepLines/>
        <w:widowControl w:val="0"/>
        <w:spacing w:before="0" w:after="0"/>
        <w:jc w:val="both"/>
        <w:rPr>
          <w:rFonts w:ascii="Times New Roman" w:eastAsia="Times New Roman" w:hAnsi="Times New Roman" w:cs="Times New Roman"/>
        </w:rPr>
      </w:pPr>
    </w:p>
    <w:p>
      <w:pPr>
        <w:spacing w:before="0" w:after="0"/>
        <w:jc w:val="both"/>
        <w:rPr>
          <w:sz w:val="20"/>
          <w:szCs w:val="20"/>
        </w:rPr>
      </w:pPr>
      <w:r>
        <w:rPr>
          <w:rFonts w:ascii="Arial" w:eastAsia="Arial" w:hAnsi="Arial" w:cs="Arial"/>
          <w:sz w:val="20"/>
          <w:szCs w:val="20"/>
        </w:rPr>
        <w:t>Management believes that the adjusted effective tax rate, provided as supplemental information, facilitates a comparison by investors of our actual effective tax rate with an adjusted effective tax rate which reflects the impact of the items which are excluded in providing adjusted net income and certain other identified items, and may provide added insight into our underlying business results and how effective tax rates impact our ongoing business.</w:t>
      </w:r>
    </w:p>
    <w:p>
      <w:pPr>
        <w:keepNext/>
        <w:keepLines/>
        <w:widowControl w:val="0"/>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Adjusted Revenue and Operating Income and Adjusted Operating Margin</w:t>
      </w:r>
    </w:p>
    <w:p>
      <w:pPr>
        <w:keepNext/>
        <w:keepLines/>
        <w:widowControl w:val="0"/>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sz w:val="20"/>
          <w:szCs w:val="20"/>
        </w:rPr>
        <w:t>We make adjustments to Revenue, Costs and Expenses and Operating Margin</w:t>
      </w:r>
      <w:r>
        <w:rPr>
          <w:rFonts w:ascii="Arial" w:eastAsia="Arial" w:hAnsi="Arial" w:cs="Arial"/>
          <w:sz w:val="20"/>
          <w:szCs w:val="20"/>
        </w:rPr>
        <w:t>, as applicable,</w:t>
      </w:r>
      <w:r>
        <w:rPr>
          <w:rFonts w:ascii="Arial" w:eastAsia="Arial" w:hAnsi="Arial" w:cs="Arial"/>
          <w:sz w:val="20"/>
          <w:szCs w:val="20"/>
        </w:rPr>
        <w:t xml:space="preserve"> for the following items, for the purpose of calculating Adjusted Revenue, Adjusted Operating Income and Adjusted Operating Margin:</w:t>
      </w:r>
    </w:p>
    <w:p>
      <w:pPr>
        <w:keepNext/>
        <w:keepLines/>
        <w:widowControl w:val="0"/>
        <w:spacing w:before="0" w:after="0"/>
        <w:rPr>
          <w:rFonts w:ascii="Times New Roman" w:eastAsia="Times New Roman" w:hAnsi="Times New Roman" w:cs="Times New Roman"/>
        </w:rPr>
      </w:pP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Amortization of acquired intangible assets.</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Restructuring and related costs.</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Interest expense. Interest expense includes interest on long-term debt and amortization of debt issuance costs.</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(Gain) loss on extinguishment of debt.</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Goodwill impairment.</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(Gain) loss on divestitures and transaction costs.</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Litigation costs (recoveries), net.</w:t>
      </w:r>
    </w:p>
    <w:p>
      <w:pPr>
        <w:keepNext/>
        <w:keepLines/>
        <w:widowControl w:val="0"/>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Other charge (credit).</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2018 Divestitures.</w:t>
      </w:r>
    </w:p>
    <w:p>
      <w:pPr>
        <w:spacing w:before="0" w:after="0"/>
        <w:ind w:left="36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We provide our investors with adjusted revenue, adjusted operating income and adjusted operating margin information, as supplemental information, because we believe it offers added insight, by itself and for comparability between periods, by adjusting for certain non-cash items as well as certain other identified items which we do not believe are indicative of our ongoing business, and may also provide added insight on trends in our ongoing business.</w:t>
      </w:r>
    </w:p>
    <w:p>
      <w:pPr>
        <w:spacing w:before="0" w:after="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We provide adjusted revenues as supplemental information to our presentation of reported GAAP revenue in order to facilitate additional information to our investors concerning period-to-period comparisons reflecting the impact of our 2018 divestitures.</w:t>
      </w:r>
    </w:p>
    <w:p>
      <w:pPr>
        <w:spacing w:before="0" w:after="0"/>
        <w:rPr>
          <w:rFonts w:ascii="Times New Roman" w:eastAsia="Times New Roman" w:hAnsi="Times New Roman" w:cs="Times New Roman"/>
        </w:rPr>
      </w:pPr>
    </w:p>
    <w:p>
      <w:pPr>
        <w:spacing w:before="0" w:after="0"/>
        <w:rPr>
          <w:sz w:val="20"/>
          <w:szCs w:val="20"/>
        </w:rPr>
      </w:pPr>
      <w:r>
        <w:rPr>
          <w:rFonts w:ascii="Arial" w:eastAsia="Arial" w:hAnsi="Arial" w:cs="Arial"/>
          <w:b/>
          <w:bCs/>
          <w:sz w:val="20"/>
          <w:szCs w:val="20"/>
        </w:rPr>
        <w:t>Adjusted EBITDA and EBITDA Margin</w:t>
      </w:r>
    </w:p>
    <w:p>
      <w:pPr>
        <w:spacing w:before="0" w:after="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We use Adjusted EBITDA and Adjusted EBITDA Margin as an additional way of assessing certain aspects of our operations that, when viewed with the GAAP results and the accompanying reconciliations to corresponding GAAP financial measures, provide a more complete understanding of our on-going business. Adjusted EBITDA represents income (loss) before interest, income taxes, depreciation and amortization and contract inducement amortization adjusted for the following items. Adjusted EBITDA margin is Adjusted EBITDA divided by</w:t>
      </w:r>
      <w:r>
        <w:rPr>
          <w:rFonts w:ascii="Arial" w:eastAsia="Arial" w:hAnsi="Arial" w:cs="Arial"/>
          <w:sz w:val="20"/>
          <w:szCs w:val="20"/>
        </w:rPr>
        <w:t xml:space="preserve"> revenue or</w:t>
      </w:r>
      <w:r>
        <w:rPr>
          <w:rFonts w:ascii="Arial" w:eastAsia="Arial" w:hAnsi="Arial" w:cs="Arial"/>
          <w:sz w:val="20"/>
          <w:szCs w:val="20"/>
        </w:rPr>
        <w:t xml:space="preserve"> adjusted revenue</w:t>
      </w:r>
      <w:r>
        <w:rPr>
          <w:rFonts w:ascii="Arial" w:eastAsia="Arial" w:hAnsi="Arial" w:cs="Arial"/>
          <w:sz w:val="20"/>
          <w:szCs w:val="20"/>
        </w:rPr>
        <w:t>, as applicable</w:t>
      </w:r>
      <w:r>
        <w:rPr>
          <w:rFonts w:ascii="Arial" w:eastAsia="Arial" w:hAnsi="Arial" w:cs="Arial"/>
          <w:sz w:val="20"/>
          <w:szCs w:val="20"/>
        </w:rPr>
        <w:t>.</w:t>
      </w:r>
    </w:p>
    <w:p>
      <w:pPr>
        <w:spacing w:before="0" w:after="0"/>
        <w:ind w:left="360" w:hanging="360"/>
        <w:rPr>
          <w:rFonts w:ascii="Times New Roman" w:eastAsia="Times New Roman" w:hAnsi="Times New Roman" w:cs="Times New Roman"/>
        </w:rPr>
      </w:pP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Restructuring and related costs.</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Goodwill impairment.</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(Gain) loss on extinguishment of debt</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(Gain) loss on divestitures and transaction costs.</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Litigation costs (recoveries), net.</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Other charge (credit).</w:t>
      </w:r>
    </w:p>
    <w:p>
      <w:pPr>
        <w:spacing w:before="0" w:after="0"/>
        <w:ind w:left="360" w:hanging="360"/>
        <w:rPr>
          <w:sz w:val="20"/>
          <w:szCs w:val="20"/>
        </w:rPr>
      </w:pPr>
      <w:r>
        <w:rPr>
          <w:rFonts w:ascii="Arial" w:eastAsia="Arial" w:hAnsi="Arial" w:cs="Arial"/>
          <w:sz w:val="20"/>
          <w:szCs w:val="20"/>
        </w:rPr>
        <w:t>•</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sz w:val="20"/>
          <w:szCs w:val="20"/>
        </w:rPr>
        <w:t>2018 Divestitures.</w:t>
      </w:r>
    </w:p>
    <w:p>
      <w:pPr>
        <w:spacing w:before="0" w:after="0"/>
        <w:ind w:left="36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Adjusted EBITDA is not intended to represent cash flows from operations, operating income (loss) or net income (loss) as defined by U.S. GAAP as indicators of operating performances. Management cautions that amounts presented in accordance with Conduent's definition of Adjusted EBITDA and Adjusted EBITDA margin may not be comparable to similar measures disclosed by other companies because not all companies calculate Adjusted EBITDA and Adjusted EBITDA margin in the same manner.</w:t>
      </w:r>
    </w:p>
    <w:p>
      <w:pPr>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Free Cash Flow</w:t>
      </w:r>
    </w:p>
    <w:p>
      <w:pPr>
        <w:keepNext/>
        <w:keepLines/>
        <w:widowControl w:val="0"/>
        <w:spacing w:before="0" w:after="0"/>
        <w:rPr>
          <w:rFonts w:ascii="Times New Roman" w:eastAsia="Times New Roman" w:hAnsi="Times New Roman" w:cs="Times New Roman"/>
        </w:rPr>
      </w:pPr>
    </w:p>
    <w:p>
      <w:pPr>
        <w:keepLines/>
        <w:widowControl w:val="0"/>
        <w:spacing w:before="0" w:after="0"/>
        <w:rPr>
          <w:sz w:val="20"/>
          <w:szCs w:val="20"/>
        </w:rPr>
      </w:pPr>
      <w:r>
        <w:rPr>
          <w:rFonts w:ascii="Arial" w:eastAsia="Arial" w:hAnsi="Arial" w:cs="Arial"/>
          <w:sz w:val="20"/>
          <w:szCs w:val="20"/>
        </w:rPr>
        <w:t xml:space="preserve">Free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 xml:space="preserve">low is defined as cash flows from operating activities as reported on the consolidated statement of cash flows, less cost of additions to land, buildings and equipment, cost of additions to internal use software, tax payments related to divestitures, vendor financed capital lease and proceeds from sales of land, buildings and equipment. We use the non-GAAP measure of </w:t>
      </w:r>
      <w:r>
        <w:rPr>
          <w:rFonts w:ascii="Arial" w:eastAsia="Arial" w:hAnsi="Arial" w:cs="Arial"/>
          <w:sz w:val="20"/>
          <w:szCs w:val="20"/>
        </w:rPr>
        <w:t>f</w:t>
      </w:r>
      <w:r>
        <w:rPr>
          <w:rFonts w:ascii="Arial" w:eastAsia="Arial" w:hAnsi="Arial" w:cs="Arial"/>
          <w:sz w:val="20"/>
          <w:szCs w:val="20"/>
        </w:rPr>
        <w:t xml:space="preserve">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 xml:space="preserve">low as a criterion of liquidity and performance-based components of employee compensation. We use </w:t>
      </w:r>
      <w:r>
        <w:rPr>
          <w:rFonts w:ascii="Arial" w:eastAsia="Arial" w:hAnsi="Arial" w:cs="Arial"/>
          <w:sz w:val="20"/>
          <w:szCs w:val="20"/>
        </w:rPr>
        <w:t>f</w:t>
      </w:r>
      <w:r>
        <w:rPr>
          <w:rFonts w:ascii="Arial" w:eastAsia="Arial" w:hAnsi="Arial" w:cs="Arial"/>
          <w:sz w:val="20"/>
          <w:szCs w:val="20"/>
        </w:rPr>
        <w:t xml:space="preserve">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low as a measure of liquidity to determine amounts we can reinvest in our core businesses, such as amounts available to make acquisitions and invest in land, buildings and equipment and internal use software, after required payments on debt.</w:t>
      </w:r>
      <w:r>
        <w:rPr>
          <w:rFonts w:ascii="Arial" w:eastAsia="Arial" w:hAnsi="Arial" w:cs="Arial"/>
          <w:sz w:val="20"/>
          <w:szCs w:val="20"/>
        </w:rPr>
        <w:t xml:space="preserve">  </w:t>
      </w:r>
      <w:r>
        <w:rPr>
          <w:rFonts w:ascii="Arial" w:eastAsia="Arial" w:hAnsi="Arial" w:cs="Arial"/>
          <w:sz w:val="20"/>
          <w:szCs w:val="20"/>
        </w:rPr>
        <w:t xml:space="preserve">In order to provide a meaningful basis for comparison, we are providing information with respect to our </w:t>
      </w:r>
      <w:r>
        <w:rPr>
          <w:rFonts w:ascii="Arial" w:eastAsia="Arial" w:hAnsi="Arial" w:cs="Arial"/>
          <w:sz w:val="20"/>
          <w:szCs w:val="20"/>
        </w:rPr>
        <w:t>f</w:t>
      </w:r>
      <w:r>
        <w:rPr>
          <w:rFonts w:ascii="Arial" w:eastAsia="Arial" w:hAnsi="Arial" w:cs="Arial"/>
          <w:sz w:val="20"/>
          <w:szCs w:val="20"/>
        </w:rPr>
        <w:t xml:space="preserve">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low reconciled to cash flow provided by operating activities, which we believe to be the most directly comparable measure under U.S. GAAP.</w:t>
      </w:r>
    </w:p>
    <w:p>
      <w:pPr>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Adjusted Free Cash Flow</w:t>
      </w:r>
    </w:p>
    <w:p>
      <w:pPr>
        <w:spacing w:before="0" w:after="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 xml:space="preserve">Adjusted free cash flow is defined as free cash flow from above plus deferred compensation payments, transaction costs, costs related to Texas litigation, and certain other identified adjustments. We use </w:t>
      </w:r>
      <w:r>
        <w:rPr>
          <w:rFonts w:ascii="Arial" w:eastAsia="Arial" w:hAnsi="Arial" w:cs="Arial"/>
          <w:sz w:val="20"/>
          <w:szCs w:val="20"/>
        </w:rPr>
        <w:t>a</w:t>
      </w:r>
      <w:r>
        <w:rPr>
          <w:rFonts w:ascii="Arial" w:eastAsia="Arial" w:hAnsi="Arial" w:cs="Arial"/>
          <w:sz w:val="20"/>
          <w:szCs w:val="20"/>
        </w:rPr>
        <w:t xml:space="preserve">djusted </w:t>
      </w:r>
      <w:r>
        <w:rPr>
          <w:rFonts w:ascii="Arial" w:eastAsia="Arial" w:hAnsi="Arial" w:cs="Arial"/>
          <w:sz w:val="20"/>
          <w:szCs w:val="20"/>
        </w:rPr>
        <w:t>f</w:t>
      </w:r>
      <w:r>
        <w:rPr>
          <w:rFonts w:ascii="Arial" w:eastAsia="Arial" w:hAnsi="Arial" w:cs="Arial"/>
          <w:sz w:val="20"/>
          <w:szCs w:val="20"/>
        </w:rPr>
        <w:t xml:space="preserve">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 xml:space="preserve">low, in addition to </w:t>
      </w:r>
      <w:r>
        <w:rPr>
          <w:rFonts w:ascii="Arial" w:eastAsia="Arial" w:hAnsi="Arial" w:cs="Arial"/>
          <w:sz w:val="20"/>
          <w:szCs w:val="20"/>
        </w:rPr>
        <w:t>f</w:t>
      </w:r>
      <w:r>
        <w:rPr>
          <w:rFonts w:ascii="Arial" w:eastAsia="Arial" w:hAnsi="Arial" w:cs="Arial"/>
          <w:sz w:val="20"/>
          <w:szCs w:val="20"/>
        </w:rPr>
        <w:t xml:space="preserve">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low</w:t>
      </w:r>
      <w:r>
        <w:rPr>
          <w:rFonts w:ascii="Arial" w:eastAsia="Arial" w:hAnsi="Arial" w:cs="Arial"/>
          <w:sz w:val="20"/>
          <w:szCs w:val="20"/>
        </w:rPr>
        <w:t>,</w:t>
      </w:r>
      <w:r>
        <w:rPr>
          <w:rFonts w:ascii="Arial" w:eastAsia="Arial" w:hAnsi="Arial" w:cs="Arial"/>
          <w:sz w:val="20"/>
          <w:szCs w:val="20"/>
        </w:rPr>
        <w:t xml:space="preserve"> to provide supplemental information to our investors concerning our ability to generate cash from our ongoing operating activities; by excluding certain deferred compensation costs and our one-time Texas settlement costs, as well as transaction costs and transaction cost tax benefit related to acquisitions</w:t>
      </w:r>
      <w:r>
        <w:rPr>
          <w:rFonts w:ascii="Arial" w:eastAsia="Arial" w:hAnsi="Arial" w:cs="Arial"/>
          <w:sz w:val="20"/>
          <w:szCs w:val="20"/>
        </w:rPr>
        <w:t>, and debt buyback tax benefit</w:t>
      </w:r>
      <w:r>
        <w:rPr>
          <w:rFonts w:ascii="Arial" w:eastAsia="Arial" w:hAnsi="Arial" w:cs="Arial"/>
          <w:sz w:val="20"/>
          <w:szCs w:val="20"/>
        </w:rPr>
        <w:t xml:space="preserve">, we believe we provide useful additional information to our investors to help them further understand our ability to generate cash period-over-period as well as added information on comparability to our competitors. Such as </w:t>
      </w:r>
      <w:r>
        <w:rPr>
          <w:rFonts w:ascii="Arial" w:eastAsia="Arial" w:hAnsi="Arial" w:cs="Arial"/>
          <w:sz w:val="20"/>
          <w:szCs w:val="20"/>
        </w:rPr>
        <w:t>f</w:t>
      </w:r>
      <w:r>
        <w:rPr>
          <w:rFonts w:ascii="Arial" w:eastAsia="Arial" w:hAnsi="Arial" w:cs="Arial"/>
          <w:sz w:val="20"/>
          <w:szCs w:val="20"/>
        </w:rPr>
        <w:t xml:space="preserve">ree </w:t>
      </w:r>
      <w:r>
        <w:rPr>
          <w:rFonts w:ascii="Arial" w:eastAsia="Arial" w:hAnsi="Arial" w:cs="Arial"/>
          <w:sz w:val="20"/>
          <w:szCs w:val="20"/>
        </w:rPr>
        <w:t>c</w:t>
      </w:r>
      <w:r>
        <w:rPr>
          <w:rFonts w:ascii="Arial" w:eastAsia="Arial" w:hAnsi="Arial" w:cs="Arial"/>
          <w:sz w:val="20"/>
          <w:szCs w:val="20"/>
        </w:rPr>
        <w:t xml:space="preserve">ash </w:t>
      </w:r>
      <w:r>
        <w:rPr>
          <w:rFonts w:ascii="Arial" w:eastAsia="Arial" w:hAnsi="Arial" w:cs="Arial"/>
          <w:sz w:val="20"/>
          <w:szCs w:val="20"/>
        </w:rPr>
        <w:t>f</w:t>
      </w:r>
      <w:r>
        <w:rPr>
          <w:rFonts w:ascii="Arial" w:eastAsia="Arial" w:hAnsi="Arial" w:cs="Arial"/>
          <w:sz w:val="20"/>
          <w:szCs w:val="20"/>
        </w:rPr>
        <w:t>low information, as so adjusted, is specifically not intended to provide amounts available for discretionary spending. We have added certain adjustments</w:t>
      </w:r>
      <w:r>
        <w:rPr>
          <w:rFonts w:ascii="Arial" w:eastAsia="Arial" w:hAnsi="Arial" w:cs="Arial"/>
          <w:sz w:val="20"/>
          <w:szCs w:val="20"/>
        </w:rPr>
        <w:t xml:space="preserve"> to account for items which we do not believe reflect our core business or operating performance, and we computed all periods with such adjusted costs. </w:t>
      </w:r>
    </w:p>
    <w:p>
      <w:pPr>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Constant Currency</w:t>
      </w:r>
    </w:p>
    <w:p>
      <w:pPr>
        <w:keepNext/>
        <w:keepLines/>
        <w:widowControl w:val="0"/>
        <w:spacing w:before="0" w:after="0"/>
        <w:rPr>
          <w:rFonts w:ascii="Times New Roman" w:eastAsia="Times New Roman" w:hAnsi="Times New Roman" w:cs="Times New Roman"/>
        </w:rPr>
      </w:pPr>
    </w:p>
    <w:p>
      <w:pPr>
        <w:spacing w:before="0" w:after="0"/>
        <w:rPr>
          <w:sz w:val="20"/>
          <w:szCs w:val="20"/>
        </w:rPr>
      </w:pPr>
      <w:r>
        <w:rPr>
          <w:rFonts w:ascii="Arial" w:eastAsia="Arial" w:hAnsi="Arial" w:cs="Arial"/>
          <w:sz w:val="20"/>
          <w:szCs w:val="20"/>
        </w:rPr>
        <w:t>To better understand trends in our business, we believe that it is helpful to adjust revenue to exclude the impact of changes in the translation of foreign currencies into U.S. Dollars. We refer to this adjusted revenue as “constant currency.” Currency impact is the difference between actual growth rates and constant currency growth rates and is calculated by translating current period activity in local currency using the comparable prior period's currency translation rate.</w:t>
      </w:r>
    </w:p>
    <w:p>
      <w:pPr>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Non-GAAP Outlook</w:t>
      </w:r>
    </w:p>
    <w:p>
      <w:pPr>
        <w:keepNext/>
        <w:keepLines/>
        <w:widowControl w:val="0"/>
        <w:spacing w:before="0" w:after="0"/>
        <w:rPr>
          <w:rFonts w:ascii="Times New Roman" w:eastAsia="Times New Roman" w:hAnsi="Times New Roman" w:cs="Times New Roman"/>
        </w:rPr>
      </w:pPr>
    </w:p>
    <w:p>
      <w:pPr>
        <w:keepLines/>
        <w:widowControl w:val="0"/>
        <w:spacing w:before="0" w:after="0"/>
        <w:rPr>
          <w:sz w:val="20"/>
          <w:szCs w:val="20"/>
        </w:rPr>
      </w:pPr>
      <w:r>
        <w:rPr>
          <w:rFonts w:ascii="Arial" w:eastAsia="Arial" w:hAnsi="Arial" w:cs="Arial"/>
          <w:sz w:val="20"/>
          <w:szCs w:val="20"/>
        </w:rPr>
        <w:t>In providing outlook for adjusted EBITDA we exclude certain items which are otherwise included in determining the comparable GAAP financial measure.</w:t>
      </w:r>
      <w:r>
        <w:rPr>
          <w:rFonts w:ascii="Arial" w:eastAsia="Arial" w:hAnsi="Arial" w:cs="Arial"/>
          <w:sz w:val="20"/>
          <w:szCs w:val="20"/>
        </w:rPr>
        <w:t> </w:t>
      </w:r>
      <w:r>
        <w:rPr>
          <w:rFonts w:ascii="Arial" w:eastAsia="Arial" w:hAnsi="Arial" w:cs="Arial"/>
          <w:sz w:val="20"/>
          <w:szCs w:val="20"/>
        </w:rPr>
        <w:t>A description of the adjustments which historically have been applicable in determining adjusted EBITDA are reflected in the table below.</w:t>
      </w:r>
      <w:r>
        <w:rPr>
          <w:rFonts w:ascii="Arial" w:eastAsia="Arial" w:hAnsi="Arial" w:cs="Arial"/>
          <w:sz w:val="20"/>
          <w:szCs w:val="20"/>
        </w:rPr>
        <w:t> </w:t>
      </w:r>
      <w:r>
        <w:rPr>
          <w:rFonts w:ascii="Arial" w:eastAsia="Arial" w:hAnsi="Arial" w:cs="Arial"/>
          <w:sz w:val="20"/>
          <w:szCs w:val="20"/>
        </w:rPr>
        <w:t xml:space="preserve">We are providing such outlook only on a non-GAAP basis because the Company is unable to predict with reasonable certainty the totality or ultimate outcome or occurrence of these adjustments for the forward-looking period, such as amortization, restructuring, NY MMIS, HE charge, </w:t>
      </w:r>
      <w:r>
        <w:rPr>
          <w:rFonts w:ascii="Arial" w:eastAsia="Arial" w:hAnsi="Arial" w:cs="Arial"/>
          <w:sz w:val="20"/>
          <w:szCs w:val="20"/>
        </w:rPr>
        <w:t xml:space="preserve">goodwill impairment, </w:t>
      </w:r>
      <w:r>
        <w:rPr>
          <w:rFonts w:ascii="Arial" w:eastAsia="Arial" w:hAnsi="Arial" w:cs="Arial"/>
          <w:sz w:val="20"/>
          <w:szCs w:val="20"/>
        </w:rPr>
        <w:t>and certain other adjusted items, which can be dependent on future events that may not be reliably predicted. Based on past reported results, where one or more of these items have been applicable, such excluded items could be material, individually or in the aggregate, to reported results. We have provided an outlook for revenue on a constant currency basis due to the inability to accurately predict foreign currency impact on revenues.</w:t>
      </w:r>
      <w:r>
        <w:rPr>
          <w:rFonts w:ascii="Arial" w:eastAsia="Arial" w:hAnsi="Arial" w:cs="Arial"/>
          <w:sz w:val="20"/>
          <w:szCs w:val="20"/>
        </w:rPr>
        <w:t xml:space="preserve">  </w:t>
      </w:r>
      <w:r>
        <w:rPr>
          <w:rFonts w:ascii="Arial" w:eastAsia="Arial" w:hAnsi="Arial" w:cs="Arial"/>
          <w:sz w:val="20"/>
          <w:szCs w:val="20"/>
        </w:rPr>
        <w:t>Outlook for Free Cash Flow and Adjusted Free Cash Flow is provided as a factor of expected adjusted EBITDA, see above.</w:t>
      </w:r>
    </w:p>
    <w:p>
      <w:pPr>
        <w:spacing w:before="0" w:after="0"/>
        <w:rPr>
          <w:rFonts w:ascii="Times New Roman" w:eastAsia="Times New Roman" w:hAnsi="Times New Roman" w:cs="Times New Roman"/>
        </w:rPr>
      </w:pPr>
    </w:p>
    <w:p>
      <w:pPr>
        <w:keepNext/>
        <w:keepLines/>
        <w:widowControl w:val="0"/>
        <w:spacing w:before="0" w:after="0"/>
        <w:jc w:val="both"/>
        <w:rPr>
          <w:sz w:val="20"/>
          <w:szCs w:val="20"/>
        </w:rPr>
      </w:pPr>
      <w:r>
        <w:rPr>
          <w:rFonts w:ascii="Arial" w:eastAsia="Arial" w:hAnsi="Arial" w:cs="Arial"/>
          <w:b/>
          <w:bCs/>
          <w:sz w:val="20"/>
          <w:szCs w:val="20"/>
        </w:rPr>
        <w:t xml:space="preserve">Non-GAAP Reconciliations: </w:t>
      </w:r>
      <w:r>
        <w:rPr>
          <w:rFonts w:ascii="Arial" w:eastAsia="Arial" w:hAnsi="Arial" w:cs="Arial"/>
          <w:sz w:val="20"/>
          <w:szCs w:val="20"/>
        </w:rPr>
        <w:t>Adjusted Revenue, Adjusted Net Income (Loss), Adjusted Effective Tax, Adjusted Operating Income (Loss) and Adjusted EBITDA were as follows:</w:t>
      </w:r>
    </w:p>
    <w:p>
      <w:pPr>
        <w:keepNext/>
        <w:keepLines/>
        <w:widowControl w:val="0"/>
        <w:spacing w:before="0" w:after="0"/>
        <w:jc w:val="both"/>
        <w:rPr>
          <w:rFonts w:ascii="Times New Roman" w:eastAsia="Times New Roman" w:hAnsi="Times New Roman" w:cs="Times New Roman"/>
        </w:rPr>
      </w:pPr>
    </w:p>
    <w:tbl>
      <w:tblPr>
        <w:tblW w:w="10215" w:type="dxa"/>
        <w:jc w:val="center"/>
        <w:tblInd w:w="5" w:type="dxa"/>
        <w:tblCellMar>
          <w:top w:w="0" w:type="dxa"/>
          <w:left w:w="0" w:type="dxa"/>
          <w:bottom w:w="0" w:type="dxa"/>
          <w:right w:w="0" w:type="dxa"/>
        </w:tblCellMar>
      </w:tblPr>
      <w:tblGrid>
        <w:gridCol w:w="4742"/>
        <w:gridCol w:w="77"/>
        <w:gridCol w:w="177"/>
        <w:gridCol w:w="1111"/>
        <w:gridCol w:w="77"/>
        <w:gridCol w:w="177"/>
        <w:gridCol w:w="1111"/>
        <w:gridCol w:w="77"/>
        <w:gridCol w:w="177"/>
        <w:gridCol w:w="1124"/>
        <w:gridCol w:w="77"/>
        <w:gridCol w:w="177"/>
        <w:gridCol w:w="1111"/>
      </w:tblGrid>
      <w:tr>
        <w:tblPrEx>
          <w:tblW w:w="10215" w:type="dxa"/>
          <w:jc w:val="center"/>
          <w:tblInd w:w="5" w:type="dxa"/>
          <w:tblCellMar>
            <w:top w:w="0" w:type="dxa"/>
            <w:left w:w="0" w:type="dxa"/>
            <w:bottom w:w="0" w:type="dxa"/>
            <w:right w:w="0" w:type="dxa"/>
          </w:tblCellMar>
        </w:tblPrEx>
        <w:trPr>
          <w:trHeight w:hRule="exact" w:val="420"/>
          <w:jc w:val="center"/>
        </w:trPr>
        <w:tc>
          <w:tcPr>
            <w:tcW w:w="505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505" w:type="dxa"/>
            <w:gridSpan w:val="5"/>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505" w:type="dxa"/>
            <w:gridSpan w:val="5"/>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(in millions)</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15" w:type="dxa"/>
          <w:jc w:val="center"/>
          <w:tblInd w:w="5" w:type="dxa"/>
          <w:tblCellMar>
            <w:top w:w="0" w:type="dxa"/>
            <w:left w:w="0" w:type="dxa"/>
            <w:bottom w:w="0" w:type="dxa"/>
            <w:right w:w="0" w:type="dxa"/>
          </w:tblCellMar>
        </w:tblPrEx>
        <w:trPr>
          <w:trHeight w:hRule="exact" w:val="285"/>
          <w:jc w:val="center"/>
        </w:trPr>
        <w:tc>
          <w:tcPr>
            <w:tcW w:w="505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REVENUE</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Revenue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1,098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1,304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3,368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4,111</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(648)</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Revenue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1,098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1,142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3,332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3,463</w:t>
            </w:r>
          </w:p>
        </w:tc>
      </w:tr>
      <w:tr>
        <w:tblPrEx>
          <w:tblW w:w="10215" w:type="dxa"/>
          <w:jc w:val="center"/>
          <w:tblInd w:w="5" w:type="dxa"/>
          <w:tblCellMar>
            <w:top w:w="0" w:type="dxa"/>
            <w:left w:w="0" w:type="dxa"/>
            <w:bottom w:w="0" w:type="dxa"/>
            <w:right w:w="0" w:type="dxa"/>
          </w:tblCellMar>
        </w:tblPrEx>
        <w:trPr>
          <w:trHeight w:hRule="exact" w:val="300"/>
          <w:jc w:val="center"/>
        </w:trPr>
        <w:tc>
          <w:tcPr>
            <w:tcW w:w="505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8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NET INCOME (LOSS)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Income (Loss) From Continuing Operations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(276)</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Amortization of acquired intangible assets</w:t>
            </w:r>
            <w:r>
              <w:rPr>
                <w:rFonts w:ascii="Arial" w:eastAsia="Arial" w:hAnsi="Arial" w:cs="Arial"/>
                <w:b w:val="0"/>
                <w:bCs w:val="0"/>
                <w:i w:val="0"/>
                <w:iCs w:val="0"/>
                <w:smallCaps w:val="0"/>
                <w:color w:val="000000"/>
                <w:sz w:val="16"/>
                <w:szCs w:val="16"/>
                <w:vertAlign w:val="superscript"/>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181</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Restructuring and related costs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68</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extinguishment of debt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Goodwill impairment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divestitures and transaction costs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Litigation costs (recoveries),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113</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charges (credits)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Total Non-GAAP 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478</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tax adjustments</w:t>
            </w:r>
            <w:r>
              <w:rPr>
                <w:rFonts w:ascii="Arial" w:eastAsia="Arial" w:hAnsi="Arial" w:cs="Arial"/>
                <w:b w:val="0"/>
                <w:bCs w:val="0"/>
                <w:i w:val="0"/>
                <w:iCs w:val="0"/>
                <w:smallCaps w:val="0"/>
                <w:color w:val="000000"/>
                <w:sz w:val="16"/>
                <w:szCs w:val="16"/>
                <w:vertAlign w:val="superscript"/>
              </w:rPr>
              <w:t>(</w:t>
            </w:r>
            <w:r>
              <w:rPr>
                <w:rFonts w:ascii="Arial" w:eastAsia="Arial" w:hAnsi="Arial" w:cs="Arial"/>
                <w:b w:val="0"/>
                <w:bCs w:val="0"/>
                <w:i w:val="0"/>
                <w:iCs w:val="0"/>
                <w:smallCaps w:val="0"/>
                <w:color w:val="000000"/>
                <w:sz w:val="16"/>
                <w:szCs w:val="16"/>
                <w:vertAlign w:val="superscript"/>
              </w:rPr>
              <w:t>3</w:t>
            </w:r>
            <w:r>
              <w:rPr>
                <w:rFonts w:ascii="Arial" w:eastAsia="Arial" w:hAnsi="Arial" w:cs="Arial"/>
                <w:b w:val="0"/>
                <w:bCs w:val="0"/>
                <w:i w:val="0"/>
                <w:iCs w:val="0"/>
                <w:smallCaps w:val="0"/>
                <w:color w:val="000000"/>
                <w:sz w:val="16"/>
                <w:szCs w:val="16"/>
                <w:vertAlign w:val="superscript"/>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Income (Loss) Before Adjustment for Divestitures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172</w:t>
            </w:r>
          </w:p>
        </w:tc>
      </w:tr>
      <w:tr>
        <w:tblPrEx>
          <w:tblW w:w="10215" w:type="dxa"/>
          <w:jc w:val="center"/>
          <w:tblInd w:w="5" w:type="dxa"/>
          <w:tblCellMar>
            <w:top w:w="0" w:type="dxa"/>
            <w:left w:w="0" w:type="dxa"/>
            <w:bottom w:w="0" w:type="dxa"/>
            <w:right w:w="0" w:type="dxa"/>
          </w:tblCellMar>
        </w:tblPrEx>
        <w:trPr>
          <w:trHeight w:hRule="exact" w:val="300"/>
          <w:jc w:val="center"/>
        </w:trPr>
        <w:tc>
          <w:tcPr>
            <w:tcW w:w="505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8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EFFECTIVE TAX</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Income (Loss) Before Income Taxes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(1,471)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(252)</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Non-GAAP 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478</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PBT (Before Adjustment for Divestitures)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226</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(95)</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PBT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131</w:t>
            </w:r>
          </w:p>
        </w:tc>
      </w:tr>
      <w:tr>
        <w:tblPrEx>
          <w:tblW w:w="10215" w:type="dxa"/>
          <w:jc w:val="center"/>
          <w:tblInd w:w="5" w:type="dxa"/>
          <w:tblCellMar>
            <w:top w:w="0" w:type="dxa"/>
            <w:left w:w="0" w:type="dxa"/>
            <w:bottom w:w="0" w:type="dxa"/>
            <w:right w:w="0" w:type="dxa"/>
          </w:tblCellMar>
        </w:tblPrEx>
        <w:trPr>
          <w:trHeight w:hRule="exact" w:val="165"/>
          <w:jc w:val="center"/>
        </w:trPr>
        <w:tc>
          <w:tcPr>
            <w:tcW w:w="505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tax expense (benefit)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24</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tax adjustments</w:t>
            </w:r>
            <w:r>
              <w:rPr>
                <w:rFonts w:ascii="Arial" w:eastAsia="Arial" w:hAnsi="Arial" w:cs="Arial"/>
                <w:b w:val="0"/>
                <w:bCs w:val="0"/>
                <w:i w:val="0"/>
                <w:iCs w:val="0"/>
                <w:smallCaps w:val="0"/>
                <w:color w:val="000000"/>
                <w:sz w:val="16"/>
                <w:szCs w:val="16"/>
                <w:vertAlign w:val="superscript"/>
              </w:rPr>
              <w:t>(</w:t>
            </w:r>
            <w:r>
              <w:rPr>
                <w:rFonts w:ascii="Arial" w:eastAsia="Arial" w:hAnsi="Arial" w:cs="Arial"/>
                <w:b w:val="0"/>
                <w:bCs w:val="0"/>
                <w:i w:val="0"/>
                <w:iCs w:val="0"/>
                <w:smallCaps w:val="0"/>
                <w:color w:val="000000"/>
                <w:sz w:val="16"/>
                <w:szCs w:val="16"/>
                <w:vertAlign w:val="superscript"/>
              </w:rPr>
              <w:t>3</w:t>
            </w:r>
            <w:r>
              <w:rPr>
                <w:rFonts w:ascii="Arial" w:eastAsia="Arial" w:hAnsi="Arial" w:cs="Arial"/>
                <w:b w:val="0"/>
                <w:bCs w:val="0"/>
                <w:i w:val="0"/>
                <w:iCs w:val="0"/>
                <w:smallCaps w:val="0"/>
                <w:color w:val="000000"/>
                <w:sz w:val="16"/>
                <w:szCs w:val="16"/>
                <w:vertAlign w:val="superscript"/>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Income Tax Expense (Benefit)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215"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54</w:t>
            </w:r>
          </w:p>
        </w:tc>
      </w:tr>
      <w:tr>
        <w:tblPrEx>
          <w:tblW w:w="10215" w:type="dxa"/>
          <w:jc w:val="center"/>
          <w:tblInd w:w="5" w:type="dxa"/>
          <w:tblCellMar>
            <w:top w:w="0" w:type="dxa"/>
            <w:left w:w="0" w:type="dxa"/>
            <w:bottom w:w="0" w:type="dxa"/>
            <w:right w:w="0" w:type="dxa"/>
          </w:tblCellMar>
        </w:tblPrEx>
        <w:trPr>
          <w:trHeight w:hRule="exact" w:val="255"/>
          <w:jc w:val="center"/>
        </w:trPr>
        <w:tc>
          <w:tcPr>
            <w:tcW w:w="50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Net Income (Loss) Before Adjustment for Divestitures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111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172</w:t>
            </w:r>
          </w:p>
        </w:tc>
      </w:tr>
    </w:tbl>
    <w:p>
      <w:pPr>
        <w:keepNext/>
        <w:keepLines/>
        <w:widowControl w:val="0"/>
        <w:spacing w:before="120" w:after="0"/>
        <w:jc w:val="both"/>
        <w:rPr>
          <w:rFonts w:ascii="Times New Roman" w:eastAsia="Times New Roman" w:hAnsi="Times New Roman" w:cs="Times New Roman"/>
        </w:rPr>
      </w:pPr>
    </w:p>
    <w:tbl>
      <w:tblPr>
        <w:tblW w:w="10215" w:type="dxa"/>
        <w:jc w:val="center"/>
        <w:tblInd w:w="58" w:type="dxa"/>
        <w:tblCellMar>
          <w:top w:w="0" w:type="dxa"/>
          <w:left w:w="0" w:type="dxa"/>
          <w:bottom w:w="0" w:type="dxa"/>
          <w:right w:w="0" w:type="dxa"/>
        </w:tblCellMar>
      </w:tblPr>
      <w:tblGrid>
        <w:gridCol w:w="5233"/>
        <w:gridCol w:w="77"/>
        <w:gridCol w:w="177"/>
        <w:gridCol w:w="980"/>
        <w:gridCol w:w="77"/>
        <w:gridCol w:w="177"/>
        <w:gridCol w:w="990"/>
        <w:gridCol w:w="77"/>
        <w:gridCol w:w="177"/>
        <w:gridCol w:w="1005"/>
        <w:gridCol w:w="77"/>
        <w:gridCol w:w="177"/>
        <w:gridCol w:w="990"/>
      </w:tblGrid>
      <w:tr>
        <w:tblPrEx>
          <w:tblW w:w="10215" w:type="dxa"/>
          <w:jc w:val="center"/>
          <w:tblInd w:w="58" w:type="dxa"/>
          <w:tblCellMar>
            <w:top w:w="0" w:type="dxa"/>
            <w:left w:w="0" w:type="dxa"/>
            <w:bottom w:w="0" w:type="dxa"/>
            <w:right w:w="0" w:type="dxa"/>
          </w:tblCellMar>
        </w:tblPrEx>
        <w:trPr>
          <w:trHeight w:hRule="exact" w:val="420"/>
          <w:jc w:val="center"/>
        </w:trPr>
        <w:tc>
          <w:tcPr>
            <w:tcW w:w="559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CONTINUED</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235" w:type="dxa"/>
            <w:gridSpan w:val="5"/>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235" w:type="dxa"/>
            <w:gridSpan w:val="5"/>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15" w:type="dxa"/>
          <w:jc w:val="center"/>
          <w:tblInd w:w="58" w:type="dxa"/>
          <w:tblCellMar>
            <w:top w:w="0" w:type="dxa"/>
            <w:left w:w="0" w:type="dxa"/>
            <w:bottom w:w="0" w:type="dxa"/>
            <w:right w:w="0" w:type="dxa"/>
          </w:tblCellMar>
        </w:tblPrEx>
        <w:trPr>
          <w:trHeight w:hRule="exact" w:val="255"/>
          <w:jc w:val="center"/>
        </w:trPr>
        <w:tc>
          <w:tcPr>
            <w:tcW w:w="559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(in millions)</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15" w:type="dxa"/>
          <w:jc w:val="center"/>
          <w:tblInd w:w="58" w:type="dxa"/>
          <w:tblCellMar>
            <w:top w:w="0" w:type="dxa"/>
            <w:left w:w="0" w:type="dxa"/>
            <w:bottom w:w="0" w:type="dxa"/>
            <w:right w:w="0" w:type="dxa"/>
          </w:tblCellMar>
        </w:tblPrEx>
        <w:trPr>
          <w:trHeight w:hRule="exact" w:val="255"/>
          <w:jc w:val="center"/>
        </w:trPr>
        <w:tc>
          <w:tcPr>
            <w:tcW w:w="559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OPERATING INCOME (LOSS)</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8" w:type="dxa"/>
          <w:tblCellMar>
            <w:top w:w="0" w:type="dxa"/>
            <w:left w:w="0" w:type="dxa"/>
            <w:bottom w:w="0" w:type="dxa"/>
            <w:right w:w="0" w:type="dxa"/>
          </w:tblCellMar>
        </w:tblPrEx>
        <w:trPr>
          <w:trHeight w:hRule="exact" w:val="255"/>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Income (Loss) Before Income Taxes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(1,471)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(252)</w:t>
            </w:r>
          </w:p>
        </w:tc>
      </w:tr>
      <w:tr>
        <w:tblPrEx>
          <w:tblW w:w="10215" w:type="dxa"/>
          <w:jc w:val="center"/>
          <w:tblInd w:w="58" w:type="dxa"/>
          <w:tblCellMar>
            <w:top w:w="0" w:type="dxa"/>
            <w:left w:w="0" w:type="dxa"/>
            <w:bottom w:w="0" w:type="dxa"/>
            <w:right w:w="0" w:type="dxa"/>
          </w:tblCellMar>
        </w:tblPrEx>
        <w:trPr>
          <w:trHeight w:hRule="exact" w:val="255"/>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8" w:type="dxa"/>
          <w:tblCellMar>
            <w:top w:w="0" w:type="dxa"/>
            <w:left w:w="0" w:type="dxa"/>
            <w:bottom w:w="0" w:type="dxa"/>
            <w:right w:w="0" w:type="dxa"/>
          </w:tblCellMar>
        </w:tblPrEx>
        <w:trPr>
          <w:trHeight w:hRule="exact" w:val="255"/>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non-GAAP 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478</w:t>
            </w:r>
          </w:p>
        </w:tc>
      </w:tr>
      <w:tr>
        <w:tblPrEx>
          <w:tblW w:w="10215" w:type="dxa"/>
          <w:jc w:val="center"/>
          <w:tblInd w:w="58" w:type="dxa"/>
          <w:tblCellMar>
            <w:top w:w="0" w:type="dxa"/>
            <w:left w:w="0" w:type="dxa"/>
            <w:bottom w:w="0" w:type="dxa"/>
            <w:right w:w="0" w:type="dxa"/>
          </w:tblCellMar>
        </w:tblPrEx>
        <w:trPr>
          <w:trHeight w:hRule="exact" w:val="255"/>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Interest expense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92</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Operating Income (Loss) Before Adjustment for Divestitures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318</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(95)</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Operating Income (Loss)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223</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EBITDA</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Income (Loss) From Continuing Operations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(276)</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tax expense (benefit)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24</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Depreciation and amortization</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345</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Contract inducement amortization</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Interest expense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92</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EBITDA Before Adjustment for Divestiture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(1,067)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187</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(95)</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 depreciation and amortization</w:t>
            </w:r>
            <w:r>
              <w:rPr>
                <w:rFonts w:ascii="Arial" w:eastAsia="Arial" w:hAnsi="Arial" w:cs="Arial"/>
                <w:b w:val="0"/>
                <w:bCs w:val="0"/>
                <w:i w:val="0"/>
                <w:iCs w:val="0"/>
                <w:smallCaps w:val="0"/>
                <w:color w:val="000000"/>
                <w:sz w:val="16"/>
                <w:szCs w:val="16"/>
                <w:vertAlign w:val="superscript"/>
              </w:rPr>
              <w:t>(1)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EBITDA</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(1,068)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88</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Restructuring and related costs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68</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extinguishment of debt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Goodwill impairment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1,351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(Gain) loss on divestitures and transaction costs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54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Litigation costs (recoveries), net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113</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Other charges (credits)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EBITDA Before Adjustment for Divestiture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484</w:t>
            </w:r>
          </w:p>
        </w:tc>
      </w:tr>
      <w:tr>
        <w:tblPrEx>
          <w:tblW w:w="10215" w:type="dxa"/>
          <w:jc w:val="center"/>
          <w:tblInd w:w="58" w:type="dxa"/>
          <w:tblCellMar>
            <w:top w:w="0" w:type="dxa"/>
            <w:left w:w="0" w:type="dxa"/>
            <w:bottom w:w="0" w:type="dxa"/>
            <w:right w:w="0" w:type="dxa"/>
          </w:tblCellMar>
        </w:tblPrEx>
        <w:trPr>
          <w:trHeight w:hRule="exact" w:val="105"/>
          <w:jc w:val="center"/>
        </w:trPr>
        <w:tc>
          <w:tcPr>
            <w:tcW w:w="559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80" w:type="dxa"/>
            <w:gridSpan w:val="2"/>
            <w:tcBorders>
              <w:top w:val="double" w:sz="8" w:space="0" w:color="000000"/>
            </w:tcBorders>
            <w:shd w:val="clear" w:color="auto" w:fill="CCEE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15" w:type="dxa"/>
          <w:jc w:val="center"/>
          <w:tblInd w:w="58" w:type="dxa"/>
          <w:tblCellMar>
            <w:top w:w="0" w:type="dxa"/>
            <w:left w:w="0" w:type="dxa"/>
            <w:bottom w:w="0" w:type="dxa"/>
            <w:right w:w="0" w:type="dxa"/>
          </w:tblCellMar>
        </w:tblPrEx>
        <w:trPr>
          <w:trHeight w:hRule="exact" w:val="300"/>
          <w:jc w:val="center"/>
        </w:trPr>
        <w:tc>
          <w:tcPr>
            <w:tcW w:w="559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EBITDA</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363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8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385</w:t>
            </w:r>
          </w:p>
        </w:tc>
      </w:tr>
    </w:tbl>
    <w:p>
      <w:pPr>
        <w:spacing w:before="120" w:after="0"/>
        <w:rPr>
          <w:sz w:val="14"/>
          <w:szCs w:val="14"/>
        </w:rPr>
      </w:pPr>
      <w:r>
        <w:rPr>
          <w:rFonts w:ascii="Arial" w:eastAsia="Arial" w:hAnsi="Arial" w:cs="Arial"/>
          <w:sz w:val="14"/>
          <w:szCs w:val="14"/>
        </w:rPr>
        <w:t> </w:t>
      </w:r>
      <w:r>
        <w:rPr>
          <w:rFonts w:ascii="Arial" w:eastAsia="Arial" w:hAnsi="Arial" w:cs="Arial"/>
          <w:sz w:val="14"/>
          <w:szCs w:val="14"/>
        </w:rPr>
        <w:t>___________</w:t>
      </w:r>
    </w:p>
    <w:p>
      <w:pPr>
        <w:spacing w:before="0" w:after="0"/>
        <w:rPr>
          <w:rFonts w:ascii="Times New Roman" w:eastAsia="Times New Roman" w:hAnsi="Times New Roman" w:cs="Times New Roman"/>
        </w:rPr>
      </w:pPr>
    </w:p>
    <w:p>
      <w:pPr>
        <w:spacing w:before="0" w:after="0"/>
        <w:ind w:left="360" w:hanging="360"/>
        <w:rPr>
          <w:sz w:val="14"/>
          <w:szCs w:val="14"/>
        </w:rPr>
      </w:pPr>
      <w:r>
        <w:rPr>
          <w:rFonts w:ascii="Arial" w:eastAsia="Arial" w:hAnsi="Arial" w:cs="Arial"/>
          <w:sz w:val="14"/>
          <w:szCs w:val="14"/>
        </w:rPr>
        <w:t>(1)</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4"/>
          <w:szCs w:val="14"/>
        </w:rPr>
        <w:t>Adjusted for the full impact from revenue and income/loss from divestitures.</w:t>
      </w:r>
    </w:p>
    <w:p>
      <w:pPr>
        <w:spacing w:before="0" w:after="0"/>
        <w:ind w:left="360" w:hanging="360"/>
        <w:rPr>
          <w:sz w:val="14"/>
          <w:szCs w:val="14"/>
        </w:rPr>
      </w:pPr>
      <w:r>
        <w:rPr>
          <w:rFonts w:ascii="Arial" w:eastAsia="Arial" w:hAnsi="Arial" w:cs="Arial"/>
          <w:sz w:val="14"/>
          <w:szCs w:val="14"/>
        </w:rPr>
        <w:t>(2)</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4"/>
          <w:szCs w:val="14"/>
        </w:rPr>
        <w:t>Included in Depreciation and amortization on the Condensed Consolidated Statements of Income (Loss).</w:t>
      </w:r>
    </w:p>
    <w:p>
      <w:pPr>
        <w:spacing w:before="0" w:after="0"/>
        <w:ind w:left="360" w:hanging="360"/>
        <w:rPr>
          <w:sz w:val="14"/>
          <w:szCs w:val="14"/>
        </w:rPr>
      </w:pPr>
      <w:r>
        <w:rPr>
          <w:rFonts w:ascii="Arial" w:eastAsia="Arial" w:hAnsi="Arial" w:cs="Arial"/>
          <w:sz w:val="14"/>
          <w:szCs w:val="14"/>
        </w:rPr>
        <w:t>(3)</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4"/>
          <w:szCs w:val="14"/>
        </w:rPr>
        <w:t>The tax impact of Adjusted Pre-tax income (loss) from continuing operations was calculated under the same accounting principles applied to the 'As Reported' pre-tax income (loss), which employs an annual effective tax rate method to the results and without regard to the business divestitures, the State of Texas litigation reserve, loss on extinguishment of debt, charges for amortization of intangible assets, restructuring, goodwill impairment and divestiture related costs.</w:t>
      </w:r>
    </w:p>
    <w:p>
      <w:pPr>
        <w:spacing w:before="0" w:after="0"/>
        <w:rPr>
          <w:rFonts w:ascii="Times New Roman" w:eastAsia="Times New Roman" w:hAnsi="Times New Roman" w:cs="Times New Roman"/>
        </w:rPr>
      </w:pPr>
    </w:p>
    <w:p>
      <w:pPr>
        <w:keepNext/>
        <w:keepLines/>
        <w:widowControl w:val="0"/>
        <w:spacing w:before="0" w:after="0"/>
        <w:jc w:val="both"/>
        <w:rPr>
          <w:sz w:val="20"/>
          <w:szCs w:val="20"/>
        </w:rPr>
      </w:pPr>
      <w:r>
        <w:rPr>
          <w:rFonts w:ascii="Arial" w:eastAsia="Arial" w:hAnsi="Arial" w:cs="Arial"/>
          <w:b/>
          <w:bCs/>
          <w:sz w:val="20"/>
          <w:szCs w:val="20"/>
        </w:rPr>
        <w:t xml:space="preserve">Non-GAAP Reconciliations: </w:t>
      </w:r>
      <w:r>
        <w:rPr>
          <w:rFonts w:ascii="Arial" w:eastAsia="Arial" w:hAnsi="Arial" w:cs="Arial"/>
          <w:sz w:val="20"/>
          <w:szCs w:val="20"/>
        </w:rPr>
        <w:t>Adjusted Weighted Average Shares Outstanding, Diluted EPS, Adjusted Effective Tax, Adjusted Operating Margin and Adjusted EBITDA Margins for the Non-GAAP reconciliations above were as follows:</w:t>
      </w:r>
    </w:p>
    <w:p>
      <w:pPr>
        <w:keepNext/>
        <w:keepLines/>
        <w:widowControl w:val="0"/>
        <w:spacing w:before="0" w:after="0"/>
        <w:rPr>
          <w:rFonts w:ascii="Times New Roman" w:eastAsia="Times New Roman" w:hAnsi="Times New Roman" w:cs="Times New Roman"/>
        </w:rPr>
      </w:pPr>
    </w:p>
    <w:tbl>
      <w:tblPr>
        <w:tblW w:w="10245" w:type="dxa"/>
        <w:jc w:val="center"/>
        <w:tblInd w:w="5" w:type="dxa"/>
        <w:tblCellMar>
          <w:top w:w="0" w:type="dxa"/>
          <w:left w:w="0" w:type="dxa"/>
          <w:bottom w:w="0" w:type="dxa"/>
          <w:right w:w="0" w:type="dxa"/>
        </w:tblCellMar>
      </w:tblPr>
      <w:tblGrid>
        <w:gridCol w:w="5981"/>
        <w:gridCol w:w="85"/>
        <w:gridCol w:w="178"/>
        <w:gridCol w:w="500"/>
        <w:gridCol w:w="338"/>
        <w:gridCol w:w="85"/>
        <w:gridCol w:w="178"/>
        <w:gridCol w:w="500"/>
        <w:gridCol w:w="338"/>
        <w:gridCol w:w="85"/>
        <w:gridCol w:w="178"/>
        <w:gridCol w:w="500"/>
        <w:gridCol w:w="338"/>
        <w:gridCol w:w="85"/>
        <w:gridCol w:w="178"/>
        <w:gridCol w:w="360"/>
        <w:gridCol w:w="338"/>
      </w:tblGrid>
      <w:tr>
        <w:tblPrEx>
          <w:tblW w:w="10245" w:type="dxa"/>
          <w:jc w:val="center"/>
          <w:tblInd w:w="5" w:type="dxa"/>
          <w:tblCellMar>
            <w:top w:w="0" w:type="dxa"/>
            <w:left w:w="0" w:type="dxa"/>
            <w:bottom w:w="0" w:type="dxa"/>
            <w:right w:w="0" w:type="dxa"/>
          </w:tblCellMar>
        </w:tblPrEx>
        <w:trPr>
          <w:trHeight w:hRule="exact" w:val="420"/>
          <w:jc w:val="center"/>
        </w:trPr>
        <w:tc>
          <w:tcPr>
            <w:tcW w:w="586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115" w:type="dxa"/>
            <w:gridSpan w:val="7"/>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115" w:type="dxa"/>
            <w:gridSpan w:val="7"/>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45" w:type="dxa"/>
          <w:jc w:val="center"/>
          <w:tblInd w:w="5" w:type="dxa"/>
          <w:tblCellMar>
            <w:top w:w="0" w:type="dxa"/>
            <w:left w:w="0" w:type="dxa"/>
            <w:bottom w:w="0" w:type="dxa"/>
            <w:right w:w="0" w:type="dxa"/>
          </w:tblCellMar>
        </w:tblPrEx>
        <w:trPr>
          <w:trHeight w:hRule="exact" w:val="255"/>
          <w:jc w:val="center"/>
        </w:trPr>
        <w:tc>
          <w:tcPr>
            <w:tcW w:w="586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(Amounts are in whole dollars, shares are in thousands and margins are in %)</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DILUTED EPS</w:t>
            </w:r>
            <w:r>
              <w:rPr>
                <w:rFonts w:ascii="Arial" w:eastAsia="Arial" w:hAnsi="Arial" w:cs="Arial"/>
                <w:b/>
                <w:bCs/>
                <w:i w:val="0"/>
                <w:iCs w:val="0"/>
                <w:smallCaps w:val="0"/>
                <w:color w:val="000000"/>
                <w:sz w:val="16"/>
                <w:szCs w:val="16"/>
                <w:vertAlign w:val="superscript"/>
              </w:rPr>
              <w:t>(1)</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Weighted Average Common Shares Outstanding</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209,626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206,605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208,741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205,739</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Stock options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138</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Restricted stock and performance units / shares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1,509</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3,017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2,227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58"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3,080</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Weighted Average Common Shares Outstanding</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211,135</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209,744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210,972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208,957</w:t>
            </w:r>
          </w:p>
        </w:tc>
      </w:tr>
      <w:tr>
        <w:tblPrEx>
          <w:tblW w:w="10245" w:type="dxa"/>
          <w:jc w:val="center"/>
          <w:tblInd w:w="5" w:type="dxa"/>
          <w:tblCellMar>
            <w:top w:w="0" w:type="dxa"/>
            <w:left w:w="0" w:type="dxa"/>
            <w:bottom w:w="0" w:type="dxa"/>
            <w:right w:w="0" w:type="dxa"/>
          </w:tblCellMar>
        </w:tblPrEx>
        <w:trPr>
          <w:trHeight w:hRule="exact" w:val="105"/>
          <w:jc w:val="center"/>
        </w:trPr>
        <w:tc>
          <w:tcPr>
            <w:tcW w:w="586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Diluted EPS from Continuing Operations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(0.09)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(6.52)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(1.38)</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non-GAAP 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0.31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1.61</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7.72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2.31</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tax adjustments</w:t>
            </w:r>
            <w:r>
              <w:rPr>
                <w:rFonts w:ascii="Arial" w:eastAsia="Arial" w:hAnsi="Arial" w:cs="Arial"/>
                <w:b w:val="0"/>
                <w:bCs w:val="0"/>
                <w:i w:val="0"/>
                <w:iCs w:val="0"/>
                <w:smallCaps w:val="0"/>
                <w:color w:val="000000"/>
                <w:sz w:val="16"/>
                <w:szCs w:val="16"/>
                <w:vertAlign w:val="superscript"/>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(0.06)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(0.17)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(0.77)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(0.14)</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Diluted EPS Before Adjustment for Divestitures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0.16</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0.28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0.43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2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0.79</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EFFECTIVE TAX RATE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Effective tax rate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(14.3)</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6.0</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8.0</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(9.5)</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non-GAAP 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43.1</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19.6</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23.3</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33.4</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Effective Tax Rate</w:t>
            </w:r>
            <w:r>
              <w:rPr>
                <w:rFonts w:ascii="Arial" w:eastAsia="Arial" w:hAnsi="Arial" w:cs="Arial"/>
                <w:b/>
                <w:bCs/>
                <w:i w:val="0"/>
                <w:iCs w:val="0"/>
                <w:smallCaps w:val="0"/>
                <w:color w:val="000000"/>
                <w:sz w:val="16"/>
                <w:szCs w:val="16"/>
                <w:vertAlign w:val="superscript"/>
              </w:rPr>
              <w:t>(2)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28.8</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25.6</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31.3</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23.9</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tcBorders>
              <w:top w:val="double" w:sz="8" w:space="0" w:color="000000"/>
            </w:tcBorders>
            <w:shd w:val="clear" w:color="auto" w:fill="FFFFFF"/>
            <w:noWrap w:val="0"/>
            <w:tcMar>
              <w:top w:w="3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OPERATING MARGIN</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Income (Loss) Before Income Taxes Margin</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(19.3)</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(43.7)</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20" w:type="dxa"/>
            <w:gridSpan w:val="3"/>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non-GAAP 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25.6</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48.0</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Interest expense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1.7</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Margin for Adjusted Operating Income Before Adjustment for Divestitures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8.0</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7.7</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(0.2)</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 w:type="dxa"/>
          <w:tblCellMar>
            <w:top w:w="0" w:type="dxa"/>
            <w:left w:w="0" w:type="dxa"/>
            <w:bottom w:w="0" w:type="dxa"/>
            <w:right w:w="0" w:type="dxa"/>
          </w:tblCellMar>
        </w:tblPrEx>
        <w:trPr>
          <w:trHeight w:hRule="exact" w:val="300"/>
          <w:jc w:val="center"/>
        </w:trPr>
        <w:tc>
          <w:tcPr>
            <w:tcW w:w="586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Margin for Adjusted Operating Income</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6.6</w:t>
            </w:r>
          </w:p>
        </w:tc>
        <w:tc>
          <w:tcPr>
            <w:tcW w:w="26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7.8</w:t>
            </w:r>
          </w:p>
        </w:tc>
        <w:tc>
          <w:tcPr>
            <w:tcW w:w="26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6.1</w:t>
            </w:r>
          </w:p>
        </w:tc>
        <w:tc>
          <w:tcPr>
            <w:tcW w:w="26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60" w:type="dxa"/>
            <w:gridSpan w:val="2"/>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6.4</w:t>
            </w:r>
          </w:p>
        </w:tc>
        <w:tc>
          <w:tcPr>
            <w:tcW w:w="26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bl>
    <w:p>
      <w:pPr>
        <w:keepLines/>
        <w:widowControl w:val="0"/>
        <w:spacing w:before="120" w:after="0"/>
        <w:rPr>
          <w:rFonts w:ascii="Times New Roman" w:eastAsia="Times New Roman" w:hAnsi="Times New Roman" w:cs="Times New Roman"/>
        </w:rPr>
      </w:pPr>
    </w:p>
    <w:tbl>
      <w:tblPr>
        <w:tblW w:w="10245" w:type="dxa"/>
        <w:jc w:val="center"/>
        <w:tblInd w:w="58" w:type="dxa"/>
        <w:tblCellMar>
          <w:top w:w="0" w:type="dxa"/>
          <w:left w:w="0" w:type="dxa"/>
          <w:bottom w:w="0" w:type="dxa"/>
          <w:right w:w="0" w:type="dxa"/>
        </w:tblCellMar>
      </w:tblPr>
      <w:tblGrid>
        <w:gridCol w:w="5536"/>
        <w:gridCol w:w="77"/>
        <w:gridCol w:w="775"/>
        <w:gridCol w:w="325"/>
        <w:gridCol w:w="77"/>
        <w:gridCol w:w="787"/>
        <w:gridCol w:w="325"/>
        <w:gridCol w:w="77"/>
        <w:gridCol w:w="787"/>
        <w:gridCol w:w="325"/>
        <w:gridCol w:w="77"/>
        <w:gridCol w:w="751"/>
        <w:gridCol w:w="325"/>
      </w:tblGrid>
      <w:tr>
        <w:tblPrEx>
          <w:tblW w:w="10245" w:type="dxa"/>
          <w:jc w:val="center"/>
          <w:tblInd w:w="58" w:type="dxa"/>
          <w:tblCellMar>
            <w:top w:w="0" w:type="dxa"/>
            <w:left w:w="0" w:type="dxa"/>
            <w:bottom w:w="0" w:type="dxa"/>
            <w:right w:w="0" w:type="dxa"/>
          </w:tblCellMar>
        </w:tblPrEx>
        <w:trPr>
          <w:trHeight w:hRule="exact" w:val="420"/>
          <w:jc w:val="center"/>
        </w:trPr>
        <w:tc>
          <w:tcPr>
            <w:tcW w:w="595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CONTINUED</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085" w:type="dxa"/>
            <w:gridSpan w:val="5"/>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055" w:type="dxa"/>
            <w:gridSpan w:val="5"/>
            <w:noWrap w:val="0"/>
            <w:tcMar>
              <w:top w:w="5" w:type="dxa"/>
              <w:left w:w="58" w:type="dxa"/>
              <w:bottom w:w="5" w:type="dxa"/>
              <w:right w:w="58" w:type="dxa"/>
            </w:tcMar>
            <w:vAlign w:val="top"/>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45" w:type="dxa"/>
          <w:jc w:val="center"/>
          <w:tblInd w:w="58" w:type="dxa"/>
          <w:tblCellMar>
            <w:top w:w="0" w:type="dxa"/>
            <w:left w:w="0" w:type="dxa"/>
            <w:bottom w:w="0" w:type="dxa"/>
            <w:right w:w="0" w:type="dxa"/>
          </w:tblCellMar>
        </w:tblPrEx>
        <w:trPr>
          <w:trHeight w:hRule="exact" w:val="255"/>
          <w:jc w:val="center"/>
        </w:trPr>
        <w:tc>
          <w:tcPr>
            <w:tcW w:w="595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u w:val="single" w:color="000000"/>
              </w:rPr>
              <w:t>(margins are in %)</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75" w:type="dxa"/>
            <w:gridSpan w:val="2"/>
            <w:tcBorders>
              <w:top w:val="single" w:sz="8" w:space="0" w:color="000000"/>
            </w:tcBorders>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45" w:type="dxa"/>
          <w:jc w:val="center"/>
          <w:tblInd w:w="58" w:type="dxa"/>
          <w:tblCellMar>
            <w:top w:w="0" w:type="dxa"/>
            <w:left w:w="0" w:type="dxa"/>
            <w:bottom w:w="0" w:type="dxa"/>
            <w:right w:w="0" w:type="dxa"/>
          </w:tblCellMar>
        </w:tblPrEx>
        <w:trPr>
          <w:trHeight w:hRule="exact" w:val="255"/>
          <w:jc w:val="center"/>
        </w:trPr>
        <w:tc>
          <w:tcPr>
            <w:tcW w:w="5955" w:type="dxa"/>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u w:val="single" w:color="000000"/>
              </w:rPr>
              <w:t>ADJUSTED EBITDA MARGIN</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75" w:type="dxa"/>
            <w:gridSpan w:val="2"/>
            <w:tcBorders>
              <w:top w:val="single" w:sz="8" w:space="0" w:color="000000"/>
            </w:tcBorders>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8" w:type="dxa"/>
          <w:tblCellMar>
            <w:top w:w="0" w:type="dxa"/>
            <w:left w:w="0" w:type="dxa"/>
            <w:bottom w:w="0" w:type="dxa"/>
            <w:right w:w="0" w:type="dxa"/>
          </w:tblCellMar>
        </w:tblPrEx>
        <w:trPr>
          <w:trHeight w:hRule="exact" w:val="255"/>
          <w:jc w:val="center"/>
        </w:trPr>
        <w:tc>
          <w:tcPr>
            <w:tcW w:w="59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EBITDA margin Before Adjustment for Divestitures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11.1</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(9.0)</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(31.7)</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4.5</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255"/>
          <w:jc w:val="center"/>
        </w:trPr>
        <w:tc>
          <w:tcPr>
            <w:tcW w:w="59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u w:val="single" w:color="000000"/>
              </w:rPr>
              <w:t>Adjustments: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975" w:type="dxa"/>
            <w:gridSpan w:val="2"/>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r>
      <w:tr>
        <w:tblPrEx>
          <w:tblW w:w="10245" w:type="dxa"/>
          <w:jc w:val="center"/>
          <w:tblInd w:w="58" w:type="dxa"/>
          <w:tblCellMar>
            <w:top w:w="0" w:type="dxa"/>
            <w:left w:w="0" w:type="dxa"/>
            <w:bottom w:w="0" w:type="dxa"/>
            <w:right w:w="0" w:type="dxa"/>
          </w:tblCellMar>
        </w:tblPrEx>
        <w:trPr>
          <w:trHeight w:hRule="exact" w:val="255"/>
          <w:jc w:val="center"/>
        </w:trPr>
        <w:tc>
          <w:tcPr>
            <w:tcW w:w="59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(2.6)</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(0.4)</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300"/>
          <w:jc w:val="center"/>
        </w:trPr>
        <w:tc>
          <w:tcPr>
            <w:tcW w:w="595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EBITDA Margin</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11.1</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(32.1)</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2.5</w:t>
            </w:r>
          </w:p>
        </w:tc>
        <w:tc>
          <w:tcPr>
            <w:tcW w:w="26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300"/>
          <w:jc w:val="center"/>
        </w:trPr>
        <w:tc>
          <w:tcPr>
            <w:tcW w:w="5955" w:type="dxa"/>
            <w:shd w:val="clear" w:color="auto" w:fill="CCEE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Total non-GAAP 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0.5</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21.0</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42.5</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7.3</w:t>
            </w:r>
          </w:p>
        </w:tc>
        <w:tc>
          <w:tcPr>
            <w:tcW w:w="260" w:type="dxa"/>
            <w:shd w:val="clear" w:color="auto" w:fill="CCEE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300"/>
          <w:jc w:val="center"/>
        </w:trPr>
        <w:tc>
          <w:tcPr>
            <w:tcW w:w="595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2.6</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0.4</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300"/>
          <w:jc w:val="center"/>
        </w:trPr>
        <w:tc>
          <w:tcPr>
            <w:tcW w:w="59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EBITDA Margin Before Adjustment for Divestitures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12.0</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10.8</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11.8</w:t>
            </w:r>
          </w:p>
        </w:tc>
        <w:tc>
          <w:tcPr>
            <w:tcW w:w="260" w:type="dxa"/>
            <w:tcBorders>
              <w:top w:val="single" w:sz="8" w:space="0" w:color="000000"/>
            </w:tcBorders>
            <w:shd w:val="clear" w:color="auto" w:fill="CCEE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300"/>
          <w:jc w:val="center"/>
        </w:trPr>
        <w:tc>
          <w:tcPr>
            <w:tcW w:w="5955" w:type="dxa"/>
            <w:shd w:val="clear" w:color="auto" w:fill="FFFFFF"/>
            <w:noWrap w:val="0"/>
            <w:tcMar>
              <w:top w:w="5" w:type="dxa"/>
              <w:left w:w="58" w:type="dxa"/>
              <w:bottom w:w="5" w:type="dxa"/>
              <w:right w:w="58" w:type="dxa"/>
            </w:tcMar>
            <w:vAlign w:val="bottom"/>
            <w:hideMark/>
          </w:tcPr>
          <w:p>
            <w:pPr>
              <w:spacing w:before="75" w:after="30" w:line="199" w:lineRule="auto"/>
              <w:ind w:left="22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 divestitures</w:t>
            </w:r>
            <w:r>
              <w:rPr>
                <w:rFonts w:ascii="Arial" w:eastAsia="Arial" w:hAnsi="Arial" w:cs="Arial"/>
                <w:b w:val="0"/>
                <w:bCs w:val="0"/>
                <w:i w:val="0"/>
                <w:iCs w:val="0"/>
                <w:smallCaps w:val="0"/>
                <w:color w:val="000000"/>
                <w:sz w:val="16"/>
                <w:szCs w:val="16"/>
                <w:vertAlign w:val="superscript"/>
              </w:rPr>
              <w:t>(3)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0.4</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0.1</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(0.7)</w:t>
            </w:r>
          </w:p>
        </w:tc>
        <w:tc>
          <w:tcPr>
            <w:tcW w:w="260" w:type="dxa"/>
            <w:shd w:val="clear" w:color="auto" w:fill="FFFFFF"/>
            <w:noWrap w:val="0"/>
            <w:tcMar>
              <w:top w:w="5" w:type="dxa"/>
              <w:left w:w="58" w:type="dxa"/>
              <w:bottom w:w="5" w:type="dxa"/>
              <w:right w:w="20"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45" w:type="dxa"/>
          <w:jc w:val="center"/>
          <w:tblInd w:w="58" w:type="dxa"/>
          <w:tblCellMar>
            <w:top w:w="0" w:type="dxa"/>
            <w:left w:w="0" w:type="dxa"/>
            <w:bottom w:w="0" w:type="dxa"/>
            <w:right w:w="0" w:type="dxa"/>
          </w:tblCellMar>
        </w:tblPrEx>
        <w:trPr>
          <w:trHeight w:hRule="exact" w:val="300"/>
          <w:jc w:val="center"/>
        </w:trPr>
        <w:tc>
          <w:tcPr>
            <w:tcW w:w="595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EBITDA Margin</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11.6</w:t>
            </w:r>
          </w:p>
        </w:tc>
        <w:tc>
          <w:tcPr>
            <w:tcW w:w="26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12.4</w:t>
            </w:r>
          </w:p>
        </w:tc>
        <w:tc>
          <w:tcPr>
            <w:tcW w:w="26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4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10.9</w:t>
            </w:r>
          </w:p>
        </w:tc>
        <w:tc>
          <w:tcPr>
            <w:tcW w:w="26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15"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11.1</w:t>
            </w:r>
          </w:p>
        </w:tc>
        <w:tc>
          <w:tcPr>
            <w:tcW w:w="260" w:type="dxa"/>
            <w:tcBorders>
              <w:top w:val="single" w:sz="8" w:space="0" w:color="000000"/>
              <w:bottom w:val="double" w:sz="8" w:space="0" w:color="000000"/>
            </w:tcBorders>
            <w:shd w:val="clear" w:color="auto" w:fill="CCEE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bl>
    <w:p>
      <w:pPr>
        <w:keepNext/>
        <w:keepLines/>
        <w:widowControl w:val="0"/>
        <w:spacing w:before="120" w:after="0"/>
        <w:rPr>
          <w:sz w:val="14"/>
          <w:szCs w:val="14"/>
        </w:rPr>
      </w:pPr>
      <w:r>
        <w:rPr>
          <w:rFonts w:ascii="Arial" w:eastAsia="Arial" w:hAnsi="Arial" w:cs="Arial"/>
          <w:sz w:val="14"/>
          <w:szCs w:val="14"/>
        </w:rPr>
        <w:t>__________</w:t>
      </w:r>
    </w:p>
    <w:p>
      <w:pPr>
        <w:keepNext/>
        <w:keepLines/>
        <w:widowControl w:val="0"/>
        <w:spacing w:before="60" w:after="0"/>
        <w:ind w:left="360" w:hanging="360"/>
        <w:rPr>
          <w:sz w:val="14"/>
          <w:szCs w:val="14"/>
        </w:rPr>
      </w:pPr>
      <w:r>
        <w:rPr>
          <w:rFonts w:ascii="Arial" w:eastAsia="Arial" w:hAnsi="Arial" w:cs="Arial"/>
          <w:sz w:val="14"/>
          <w:szCs w:val="14"/>
        </w:rPr>
        <w:t>(1)</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4"/>
          <w:szCs w:val="14"/>
        </w:rPr>
        <w:t xml:space="preserve">Average shares for the </w:t>
      </w:r>
      <w:r>
        <w:rPr>
          <w:rFonts w:ascii="Arial" w:eastAsia="Arial" w:hAnsi="Arial" w:cs="Arial"/>
          <w:i/>
          <w:iCs/>
          <w:sz w:val="14"/>
          <w:szCs w:val="14"/>
        </w:rPr>
        <w:t>2019</w:t>
      </w:r>
      <w:r>
        <w:rPr>
          <w:rFonts w:ascii="Arial" w:eastAsia="Arial" w:hAnsi="Arial" w:cs="Arial"/>
          <w:i/>
          <w:iCs/>
          <w:sz w:val="14"/>
          <w:szCs w:val="14"/>
        </w:rPr>
        <w:t xml:space="preserve"> and </w:t>
      </w:r>
      <w:r>
        <w:rPr>
          <w:rFonts w:ascii="Arial" w:eastAsia="Arial" w:hAnsi="Arial" w:cs="Arial"/>
          <w:i/>
          <w:iCs/>
          <w:sz w:val="14"/>
          <w:szCs w:val="14"/>
        </w:rPr>
        <w:t>2018</w:t>
      </w:r>
      <w:r>
        <w:rPr>
          <w:rFonts w:ascii="Arial" w:eastAsia="Arial" w:hAnsi="Arial" w:cs="Arial"/>
          <w:i/>
          <w:iCs/>
          <w:sz w:val="14"/>
          <w:szCs w:val="14"/>
        </w:rPr>
        <w:t xml:space="preserve"> calculation of adjusted EPS excludes 5 million shares associated with our Series A convertible preferred stock and includes the impact of</w:t>
      </w:r>
      <w:r>
        <w:rPr>
          <w:rFonts w:ascii="Arial" w:eastAsia="Arial" w:hAnsi="Arial" w:cs="Arial"/>
          <w:i/>
          <w:iCs/>
          <w:sz w:val="14"/>
          <w:szCs w:val="14"/>
        </w:rPr>
        <w:t xml:space="preserve">  </w:t>
      </w:r>
      <w:r>
        <w:rPr>
          <w:rFonts w:ascii="Arial" w:eastAsia="Arial" w:hAnsi="Arial" w:cs="Arial"/>
          <w:i/>
          <w:iCs/>
          <w:sz w:val="14"/>
          <w:szCs w:val="14"/>
        </w:rPr>
        <w:t xml:space="preserve">the preferred stock dividend of </w:t>
      </w:r>
      <w:r>
        <w:rPr>
          <w:rFonts w:ascii="Arial" w:eastAsia="Arial" w:hAnsi="Arial" w:cs="Arial"/>
          <w:i/>
          <w:iCs/>
          <w:sz w:val="14"/>
          <w:szCs w:val="14"/>
        </w:rPr>
        <w:t>$2.4 million</w:t>
      </w:r>
      <w:r>
        <w:rPr>
          <w:rFonts w:ascii="Arial" w:eastAsia="Arial" w:hAnsi="Arial" w:cs="Arial"/>
          <w:i/>
          <w:iCs/>
          <w:sz w:val="14"/>
          <w:szCs w:val="14"/>
        </w:rPr>
        <w:t xml:space="preserve"> for both of the three months ended </w:t>
      </w:r>
      <w:r>
        <w:rPr>
          <w:rFonts w:ascii="Arial" w:eastAsia="Arial" w:hAnsi="Arial" w:cs="Arial"/>
          <w:i/>
          <w:iCs/>
          <w:sz w:val="14"/>
          <w:szCs w:val="14"/>
        </w:rPr>
        <w:t>September 30, 2019</w:t>
      </w:r>
      <w:r>
        <w:rPr>
          <w:rFonts w:ascii="Arial" w:eastAsia="Arial" w:hAnsi="Arial" w:cs="Arial"/>
          <w:i/>
          <w:iCs/>
          <w:sz w:val="14"/>
          <w:szCs w:val="14"/>
        </w:rPr>
        <w:t xml:space="preserve"> and </w:t>
      </w:r>
      <w:r>
        <w:rPr>
          <w:rFonts w:ascii="Arial" w:eastAsia="Arial" w:hAnsi="Arial" w:cs="Arial"/>
          <w:i/>
          <w:iCs/>
          <w:sz w:val="14"/>
          <w:szCs w:val="14"/>
        </w:rPr>
        <w:t>2018</w:t>
      </w:r>
      <w:r>
        <w:rPr>
          <w:rFonts w:ascii="Arial" w:eastAsia="Arial" w:hAnsi="Arial" w:cs="Arial"/>
          <w:i/>
          <w:iCs/>
          <w:sz w:val="14"/>
          <w:szCs w:val="14"/>
        </w:rPr>
        <w:t>, respectively</w:t>
      </w:r>
    </w:p>
    <w:p>
      <w:pPr>
        <w:keepNext/>
        <w:keepLines/>
        <w:widowControl w:val="0"/>
        <w:spacing w:before="60" w:after="0"/>
        <w:ind w:left="360" w:hanging="360"/>
        <w:rPr>
          <w:sz w:val="14"/>
          <w:szCs w:val="14"/>
        </w:rPr>
      </w:pPr>
      <w:r>
        <w:rPr>
          <w:rFonts w:ascii="Arial" w:eastAsia="Arial" w:hAnsi="Arial" w:cs="Arial"/>
          <w:sz w:val="14"/>
          <w:szCs w:val="14"/>
        </w:rPr>
        <w:t>(2)</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4"/>
          <w:szCs w:val="14"/>
        </w:rPr>
        <w:t>The tax impact of Adjusted Pre-tax income (loss) from continuing operations was calculated under the same accounting principles applied to the 'As Reported' pre-tax income (loss), which employs an annual effective tax rate method to the results and without regard to the business divestitures, the State of Texas litigation reserve, loss on extinguishment of debt, charges for amortization of intangible assets, restructuring, goodwill impairment and divestiture related costs.</w:t>
      </w:r>
    </w:p>
    <w:p>
      <w:pPr>
        <w:keepLines/>
        <w:widowControl w:val="0"/>
        <w:spacing w:before="60" w:after="0"/>
        <w:ind w:left="360" w:hanging="360"/>
        <w:rPr>
          <w:sz w:val="14"/>
          <w:szCs w:val="14"/>
        </w:rPr>
      </w:pPr>
      <w:r>
        <w:rPr>
          <w:rFonts w:ascii="Arial" w:eastAsia="Arial" w:hAnsi="Arial" w:cs="Arial"/>
          <w:sz w:val="14"/>
          <w:szCs w:val="14"/>
        </w:rPr>
        <w:t>(3)</w:t>
      </w:r>
      <w:r>
        <w:rPr>
          <w:rFonts w:ascii="Times New Roman" w:eastAsia="Times New Roman" w:hAnsi="Times New Roman" w:cs="Times New Roman"/>
          <w:b w:val="0"/>
          <w:bCs w:val="0"/>
          <w:i w:val="0"/>
          <w:iCs w:val="0"/>
          <w:smallCaps w:val="0"/>
          <w:sz w:val="14"/>
          <w:szCs w:val="14"/>
        </w:rPr>
        <w:t xml:space="preserve">      </w:t>
      </w:r>
      <w:r>
        <w:rPr>
          <w:rFonts w:ascii="Arial" w:eastAsia="Arial" w:hAnsi="Arial" w:cs="Arial"/>
          <w:i/>
          <w:iCs/>
          <w:sz w:val="14"/>
          <w:szCs w:val="14"/>
        </w:rPr>
        <w:t>Adjusted for the full impact from revenue and income/loss from divestitures.</w:t>
      </w:r>
    </w:p>
    <w:p>
      <w:pPr>
        <w:spacing w:before="0" w:after="0"/>
        <w:rPr>
          <w:rFonts w:ascii="Times New Roman" w:eastAsia="Times New Roman" w:hAnsi="Times New Roman" w:cs="Times New Roman"/>
        </w:rPr>
      </w:pPr>
    </w:p>
    <w:p>
      <w:pPr>
        <w:keepNext/>
        <w:keepLines/>
        <w:widowControl w:val="0"/>
        <w:spacing w:before="0" w:after="0"/>
        <w:rPr>
          <w:sz w:val="20"/>
          <w:szCs w:val="20"/>
        </w:rPr>
      </w:pPr>
      <w:r>
        <w:rPr>
          <w:rFonts w:ascii="Arial" w:eastAsia="Arial" w:hAnsi="Arial" w:cs="Arial"/>
          <w:b/>
          <w:bCs/>
          <w:sz w:val="20"/>
          <w:szCs w:val="20"/>
        </w:rPr>
        <w:t>Free Cash Flow Reconciliation:</w:t>
      </w:r>
    </w:p>
    <w:p>
      <w:pPr>
        <w:keepNext/>
        <w:keepLines/>
        <w:widowControl w:val="0"/>
        <w:spacing w:before="0" w:after="0"/>
        <w:rPr>
          <w:rFonts w:ascii="Times New Roman" w:eastAsia="Times New Roman" w:hAnsi="Times New Roman" w:cs="Times New Roman"/>
        </w:rPr>
      </w:pPr>
    </w:p>
    <w:tbl>
      <w:tblPr>
        <w:tblW w:w="10215" w:type="dxa"/>
        <w:tblInd w:w="5" w:type="dxa"/>
        <w:tblCellMar>
          <w:top w:w="0" w:type="dxa"/>
          <w:left w:w="0" w:type="dxa"/>
          <w:bottom w:w="0" w:type="dxa"/>
          <w:right w:w="0" w:type="dxa"/>
        </w:tblCellMar>
      </w:tblPr>
      <w:tblGrid>
        <w:gridCol w:w="5169"/>
        <w:gridCol w:w="77"/>
        <w:gridCol w:w="177"/>
        <w:gridCol w:w="995"/>
        <w:gridCol w:w="116"/>
        <w:gridCol w:w="177"/>
        <w:gridCol w:w="995"/>
        <w:gridCol w:w="77"/>
        <w:gridCol w:w="177"/>
        <w:gridCol w:w="1005"/>
        <w:gridCol w:w="77"/>
        <w:gridCol w:w="177"/>
        <w:gridCol w:w="995"/>
      </w:tblGrid>
      <w:tr>
        <w:tblPrEx>
          <w:tblW w:w="10215" w:type="dxa"/>
          <w:tblInd w:w="5" w:type="dxa"/>
          <w:tblCellMar>
            <w:top w:w="0" w:type="dxa"/>
            <w:left w:w="0" w:type="dxa"/>
            <w:bottom w:w="0" w:type="dxa"/>
            <w:right w:w="0" w:type="dxa"/>
          </w:tblCellMar>
        </w:tblPrEx>
        <w:trPr>
          <w:trHeight w:hRule="exact" w:val="585"/>
        </w:trPr>
        <w:tc>
          <w:tcPr>
            <w:tcW w:w="553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26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Three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c>
          <w:tcPr>
            <w:tcW w:w="75" w:type="dxa"/>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2265" w:type="dxa"/>
            <w:gridSpan w:val="5"/>
            <w:noWrap w:val="0"/>
            <w:tcMar>
              <w:top w:w="5" w:type="dxa"/>
              <w:left w:w="58" w:type="dxa"/>
              <w:bottom w:w="5" w:type="dxa"/>
              <w:right w:w="58" w:type="dxa"/>
            </w:tcMar>
            <w:vAlign w:val="bottom"/>
            <w:hideMark/>
          </w:tcPr>
          <w:p>
            <w:pPr>
              <w:spacing w:before="75" w:after="30" w:line="199" w:lineRule="auto"/>
              <w:jc w:val="center"/>
              <w:rPr>
                <w:b w:val="0"/>
                <w:bCs w:val="0"/>
                <w:i w:val="0"/>
                <w:iCs w:val="0"/>
                <w:smallCaps w:val="0"/>
                <w:color w:val="000000"/>
              </w:rPr>
            </w:pPr>
            <w:r>
              <w:rPr>
                <w:rFonts w:ascii="Arial" w:eastAsia="Arial" w:hAnsi="Arial" w:cs="Arial"/>
                <w:b w:val="0"/>
                <w:bCs w:val="0"/>
                <w:i w:val="0"/>
                <w:iCs w:val="0"/>
                <w:smallCaps w:val="0"/>
                <w:color w:val="000000"/>
                <w:sz w:val="16"/>
                <w:szCs w:val="16"/>
              </w:rPr>
              <w:t xml:space="preserve">Nine Months Ended </w:t>
            </w:r>
            <w:r>
              <w:rPr>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September 30,</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4"/>
                <w:szCs w:val="14"/>
              </w:rPr>
            </w:pPr>
            <w:r>
              <w:rPr>
                <w:rFonts w:ascii="Arial" w:eastAsia="Arial" w:hAnsi="Arial" w:cs="Arial"/>
                <w:b w:val="0"/>
                <w:bCs w:val="0"/>
                <w:i w:val="0"/>
                <w:iCs w:val="0"/>
                <w:smallCaps w:val="0"/>
                <w:color w:val="000000"/>
                <w:sz w:val="14"/>
                <w:szCs w:val="14"/>
              </w:rPr>
              <w:t>(in millions)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Borders>
              <w:top w:val="single" w:sz="8" w:space="0" w:color="000000"/>
            </w:tcBorders>
            <w:shd w:val="clear" w:color="auto" w:fill="CCEEFF"/>
            <w:noWrap w:val="0"/>
            <w:tcMar>
              <w:top w:w="10" w:type="dxa"/>
              <w:left w:w="58" w:type="dxa"/>
              <w:bottom w:w="5" w:type="dxa"/>
              <w:right w:w="58" w:type="dxa"/>
            </w:tcMar>
            <w:vAlign w:val="bottom"/>
          </w:tcPr>
          <w:p>
            <w:pPr>
              <w:spacing w:before="55" w:after="30" w:line="199" w:lineRule="auto"/>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2019</w:t>
            </w:r>
          </w:p>
        </w:tc>
        <w:tc>
          <w:tcPr>
            <w:tcW w:w="75" w:type="dxa"/>
            <w:tcBorders>
              <w:top w:val="single" w:sz="8" w:space="0" w:color="000000"/>
            </w:tcBorders>
            <w:shd w:val="clear" w:color="auto" w:fill="CCEEFF"/>
            <w:noWrap w:val="0"/>
            <w:tcMar>
              <w:top w:w="10"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tcBorders>
              <w:top w:val="single" w:sz="8" w:space="0" w:color="000000"/>
            </w:tcBorders>
            <w:shd w:val="clear" w:color="auto" w:fill="CCEEFF"/>
            <w:noWrap w:val="0"/>
            <w:tcMar>
              <w:top w:w="10" w:type="dxa"/>
              <w:left w:w="58" w:type="dxa"/>
              <w:bottom w:w="5" w:type="dxa"/>
              <w:right w:w="58" w:type="dxa"/>
            </w:tcMar>
            <w:vAlign w:val="bottom"/>
            <w:hideMark/>
          </w:tcPr>
          <w:p>
            <w:pPr>
              <w:spacing w:before="55" w:after="30" w:line="199" w:lineRule="auto"/>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2018</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Operating Cash Flow</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(216)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Cost of additions to land, buildings and equipment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(109)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(119)</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Proceeds from sales of land, buildings and equipment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Cost of additions to internal use software</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(12)</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(17)</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(49)</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(31)</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Tax payment related to divestitures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40</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Vendor financed capital leases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(14)</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Free Cash Flow</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(28)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(60)</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(364)</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tcBorders>
            <w:shd w:val="clear" w:color="auto" w:fill="FFFFFF"/>
            <w:noWrap w:val="0"/>
            <w:tcMar>
              <w:top w:w="1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(82)</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Free Cash Flow</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(28)</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(60)</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(364)</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double" w:sz="8" w:space="0" w:color="000000"/>
            </w:tcBorders>
            <w:shd w:val="clear" w:color="auto" w:fill="CCEEFF"/>
            <w:noWrap w:val="0"/>
            <w:tcMar>
              <w:top w:w="30" w:type="dxa"/>
              <w:left w:w="58" w:type="dxa"/>
              <w:bottom w:w="5"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(82)</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Transaction costs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15</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19</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Transaction costs tax benefit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Litigation payments</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118</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FFFF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CCEEFF"/>
            <w:noWrap w:val="0"/>
            <w:tcMar>
              <w:top w:w="5" w:type="dxa"/>
              <w:left w:w="58" w:type="dxa"/>
              <w:bottom w:w="5" w:type="dxa"/>
              <w:right w:w="58" w:type="dxa"/>
            </w:tcMar>
            <w:vAlign w:val="bottom"/>
            <w:hideMark/>
          </w:tcPr>
          <w:p>
            <w:pPr>
              <w:spacing w:before="75" w:after="30" w:line="199" w:lineRule="auto"/>
              <w:ind w:left="135"/>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Deferred compensation payments and adjustments</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13</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w:t>
            </w:r>
          </w:p>
        </w:tc>
        <w:tc>
          <w:tcPr>
            <w:tcW w:w="75" w:type="dxa"/>
            <w:shd w:val="clear" w:color="auto" w:fill="CCEE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95" w:type="dxa"/>
            <w:gridSpan w:val="2"/>
            <w:shd w:val="clear" w:color="auto" w:fill="CCEEFF"/>
            <w:noWrap w:val="0"/>
            <w:tcMar>
              <w:top w:w="5" w:type="dxa"/>
              <w:left w:w="58" w:type="dxa"/>
              <w:bottom w:w="5" w:type="dxa"/>
              <w:right w:w="20" w:type="dxa"/>
            </w:tcMar>
            <w:vAlign w:val="bottom"/>
            <w:hideMark/>
          </w:tcPr>
          <w:p>
            <w:pPr>
              <w:spacing w:before="75" w:after="30" w:line="199" w:lineRule="auto"/>
              <w:jc w:val="right"/>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22</w:t>
            </w:r>
          </w:p>
        </w:tc>
      </w:tr>
      <w:tr>
        <w:tblPrEx>
          <w:tblW w:w="10215" w:type="dxa"/>
          <w:tblInd w:w="5" w:type="dxa"/>
          <w:tblCellMar>
            <w:top w:w="0" w:type="dxa"/>
            <w:left w:w="0" w:type="dxa"/>
            <w:bottom w:w="0" w:type="dxa"/>
            <w:right w:w="0" w:type="dxa"/>
          </w:tblCellMar>
        </w:tblPrEx>
        <w:trPr>
          <w:trHeight w:hRule="exact" w:val="255"/>
        </w:trPr>
        <w:tc>
          <w:tcPr>
            <w:tcW w:w="5535" w:type="dxa"/>
            <w:shd w:val="clear" w:color="auto" w:fill="FFFFFF"/>
            <w:noWrap w:val="0"/>
            <w:tcMar>
              <w:top w:w="5" w:type="dxa"/>
              <w:left w:w="58" w:type="dxa"/>
              <w:bottom w:w="5" w:type="dxa"/>
              <w:right w:w="58" w:type="dxa"/>
            </w:tcMar>
            <w:vAlign w:val="bottom"/>
            <w:hideMark/>
          </w:tcPr>
          <w:p>
            <w:pPr>
              <w:spacing w:before="7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Adjusted Free Cash Flow</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(27)</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(32)</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(236)</w:t>
            </w:r>
          </w:p>
        </w:tc>
        <w:tc>
          <w:tcPr>
            <w:tcW w:w="75" w:type="dxa"/>
            <w:shd w:val="clear" w:color="auto" w:fill="FFFFFF"/>
            <w:noWrap w:val="0"/>
            <w:tcMar>
              <w:top w:w="5" w:type="dxa"/>
              <w:left w:w="5" w:type="dxa"/>
              <w:bottom w:w="5" w:type="dxa"/>
              <w:right w:w="5" w:type="dxa"/>
            </w:tcMar>
            <w:vAlign w:val="bottom"/>
          </w:tcPr>
          <w:p>
            <w:pPr>
              <w:spacing w:before="0" w:after="0"/>
              <w:rPr>
                <w:rFonts w:ascii="Times New Roman" w:eastAsia="Times New Roman" w:hAnsi="Times New Roman" w:cs="Times New Roman"/>
                <w:b w:val="0"/>
                <w:bCs w:val="0"/>
                <w:i w:val="0"/>
                <w:iCs w:val="0"/>
                <w:smallCaps w:val="0"/>
                <w:color w:val="000000"/>
              </w:rPr>
            </w:pPr>
          </w:p>
        </w:tc>
        <w:tc>
          <w:tcPr>
            <w:tcW w:w="100"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rPr>
                <w:b w:val="0"/>
                <w:bCs w:val="0"/>
                <w:i w:val="0"/>
                <w:iCs w:val="0"/>
                <w:smallCaps w:val="0"/>
                <w:color w:val="000000"/>
                <w:sz w:val="16"/>
                <w:szCs w:val="16"/>
              </w:rPr>
            </w:pPr>
            <w:r>
              <w:rPr>
                <w:rFonts w:ascii="Arial" w:eastAsia="Arial" w:hAnsi="Arial" w:cs="Arial"/>
                <w:b/>
                <w:bCs/>
                <w:i w:val="0"/>
                <w:iCs w:val="0"/>
                <w:smallCaps w:val="0"/>
                <w:color w:val="000000"/>
                <w:sz w:val="16"/>
                <w:szCs w:val="16"/>
              </w:rPr>
              <w:t>$</w:t>
            </w:r>
          </w:p>
        </w:tc>
        <w:tc>
          <w:tcPr>
            <w:tcW w:w="995" w:type="dxa"/>
            <w:tcBorders>
              <w:top w:val="single" w:sz="8" w:space="0" w:color="000000"/>
              <w:bottom w:val="double" w:sz="8" w:space="0" w:color="000000"/>
            </w:tcBorders>
            <w:shd w:val="clear" w:color="auto" w:fill="FFFFFF"/>
            <w:noWrap w:val="0"/>
            <w:tcMar>
              <w:top w:w="10" w:type="dxa"/>
              <w:left w:w="58" w:type="dxa"/>
              <w:bottom w:w="30" w:type="dxa"/>
              <w:right w:w="20" w:type="dxa"/>
            </w:tcMar>
            <w:vAlign w:val="bottom"/>
            <w:hideMark/>
          </w:tcPr>
          <w:p>
            <w:pPr>
              <w:spacing w:before="55" w:after="30" w:line="199" w:lineRule="auto"/>
              <w:jc w:val="right"/>
              <w:rPr>
                <w:b w:val="0"/>
                <w:bCs w:val="0"/>
                <w:i w:val="0"/>
                <w:iCs w:val="0"/>
                <w:smallCaps w:val="0"/>
                <w:color w:val="000000"/>
                <w:sz w:val="16"/>
                <w:szCs w:val="16"/>
              </w:rPr>
            </w:pPr>
            <w:r>
              <w:rPr>
                <w:rFonts w:ascii="Arial" w:eastAsia="Arial" w:hAnsi="Arial" w:cs="Arial"/>
                <w:b/>
                <w:bCs/>
                <w:i w:val="0"/>
                <w:iCs w:val="0"/>
                <w:smallCaps w:val="0"/>
                <w:color w:val="000000"/>
                <w:sz w:val="16"/>
                <w:szCs w:val="16"/>
              </w:rPr>
              <w:t>(41)</w:t>
            </w:r>
          </w:p>
        </w:tc>
      </w:tr>
    </w:tbl>
    <w:p>
      <w:pPr>
        <w:keepNext/>
        <w:keepLines/>
        <w:widowControl w:val="0"/>
        <w:spacing w:before="120" w:after="0"/>
        <w:rPr>
          <w:rFonts w:ascii="Times New Roman" w:eastAsia="Times New Roman" w:hAnsi="Times New Roman" w:cs="Times New Roman"/>
        </w:rPr>
      </w:pPr>
    </w:p>
    <w:p>
      <w:pPr>
        <w:keepNext/>
        <w:keepLines/>
        <w:widowControl w:val="0"/>
        <w:spacing w:before="0" w:after="0"/>
        <w:rPr>
          <w:rFonts w:ascii="Times New Roman" w:eastAsia="Times New Roman" w:hAnsi="Times New Roman" w:cs="Times New Roman"/>
        </w:rPr>
      </w:pPr>
    </w:p>
    <w:p>
      <w:pPr>
        <w:keepLines/>
        <w:widowControl w:val="0"/>
        <w:spacing w:before="0" w:after="0"/>
        <w:rPr>
          <w:rFonts w:ascii="Times New Roman" w:eastAsia="Times New Roman" w:hAnsi="Times New Roman" w:cs="Times New Roman"/>
        </w:rPr>
      </w:pPr>
    </w:p>
    <w:sectPr>
      <w:footerReference w:type="default" r:id="rId7"/>
      <w:type w:val="nextPage"/>
      <w:pgSz w:w="12240" w:h="15840"/>
      <w:pgMar w:top="855" w:right="990" w:bottom="855" w:left="990"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rFonts w:ascii="Times New Roman" w:eastAsia="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rFonts w:ascii="Times New Roman" w:eastAsia="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ind w:firstLine="8640"/>
      <w:jc w:val="right"/>
      <w:rPr>
        <w:sz w:val="20"/>
        <w:szCs w:val="20"/>
      </w:rPr>
    </w:pPr>
    <w:r>
      <w:rPr>
        <w:rFonts w:ascii="Arial" w:eastAsia="Arial" w:hAnsi="Arial" w:cs="Arial"/>
        <w:sz w:val="20"/>
        <w:szCs w:val="20"/>
      </w:rPr>
      <w:t xml:space="preserve">      </w:t>
    </w:r>
    <w:r>
      <w:rPr>
        <w:rFonts w:ascii="Arial" w:eastAsia="Arial" w:hAnsi="Arial" w:cs="Arial"/>
        <w:b/>
        <w:bCs/>
        <w:sz w:val="20"/>
        <w:szCs w:val="20"/>
      </w:rPr>
      <w:t>EXHIBIT 99.1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