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2D5C" w:rsidRPr="00E123C8" w:rsidRDefault="00C62D5C" w:rsidP="00C62D5C">
      <w:pPr>
        <w:pStyle w:val="03-Contact-Info"/>
      </w:pPr>
      <w:bookmarkStart w:id="0" w:name="_MacBuGuideStaticData_1440V"/>
      <w:bookmarkStart w:id="1" w:name="_GoBack"/>
      <w:bookmarkEnd w:id="1"/>
      <w:r>
        <w:t>Contacto: Peveeta Persaud</w:t>
      </w:r>
    </w:p>
    <w:p w:rsidR="00C62D5C" w:rsidRDefault="00C62D5C" w:rsidP="00C62D5C">
      <w:pPr>
        <w:pStyle w:val="03-Contact-Info"/>
      </w:pPr>
      <w:r>
        <w:t>Oficina: 727.820.5592</w:t>
      </w:r>
    </w:p>
    <w:p w:rsidR="00C62D5C" w:rsidRDefault="00C62D5C" w:rsidP="00C62D5C">
      <w:pPr>
        <w:pStyle w:val="03-Contact-Info"/>
      </w:pPr>
      <w:r>
        <w:t>24 horas: 800.559.3853</w:t>
      </w:r>
    </w:p>
    <w:p w:rsidR="00D417CF" w:rsidRDefault="00D417CF" w:rsidP="00D23319">
      <w:pPr>
        <w:pStyle w:val="03-Contact-Info"/>
      </w:pPr>
    </w:p>
    <w:p w:rsidR="00C62D5C" w:rsidRDefault="00C62D5C" w:rsidP="00D23319">
      <w:pPr>
        <w:pStyle w:val="03-Contact-Info"/>
      </w:pPr>
    </w:p>
    <w:p w:rsidR="00D417CF" w:rsidRPr="007A729E" w:rsidRDefault="00A01CB0" w:rsidP="00D23319">
      <w:pPr>
        <w:pStyle w:val="03-Contact-Info"/>
      </w:pPr>
      <w:r>
        <w:t>22</w:t>
      </w:r>
      <w:r w:rsidR="004C1DEB">
        <w:t xml:space="preserve"> de junio de 2016</w:t>
      </w:r>
    </w:p>
    <w:bookmarkEnd w:id="0"/>
    <w:p w:rsidR="00F974A5" w:rsidRDefault="000C74EB" w:rsidP="00F974A5">
      <w:pPr>
        <w:pStyle w:val="04-Headline"/>
        <w:spacing w:before="240"/>
      </w:pPr>
      <w:r>
        <w:t>Siga estos consejos de Duke Energy Florida para no sufrir con las facturas de electricidad durante el verano</w:t>
      </w:r>
    </w:p>
    <w:p w:rsidR="00F974A5" w:rsidRPr="005E5330" w:rsidRDefault="000C74EB" w:rsidP="00F974A5">
      <w:pPr>
        <w:pStyle w:val="04-Headline"/>
        <w:numPr>
          <w:ilvl w:val="0"/>
          <w:numId w:val="16"/>
        </w:numPr>
        <w:spacing w:before="240"/>
        <w:rPr>
          <w:color w:val="auto"/>
          <w:sz w:val="24"/>
          <w:szCs w:val="24"/>
        </w:rPr>
      </w:pPr>
      <w:r>
        <w:rPr>
          <w:color w:val="auto"/>
          <w:sz w:val="24"/>
        </w:rPr>
        <w:t xml:space="preserve">Un control de uso energético en casa sin cargo puede ayudarlo a ahorrar mucho dinero </w:t>
      </w:r>
    </w:p>
    <w:p w:rsidR="000C74EB" w:rsidRPr="002A0EC9" w:rsidRDefault="006D6C23" w:rsidP="000C74EB">
      <w:pPr>
        <w:pStyle w:val="06-BodyCopy"/>
        <w:rPr>
          <w:color w:val="000000" w:themeColor="text1"/>
        </w:rPr>
      </w:pPr>
      <w:r>
        <w:rPr>
          <w:color w:val="000000" w:themeColor="text1"/>
        </w:rPr>
        <w:t xml:space="preserve">SAN PETERSBURGO, Florida. Durante los meses de verano, las altas temperaturas de Florida pueden causar picos estacionales en las facturas de electricidad de los clientes. Duke Energy Florida </w:t>
      </w:r>
      <w:r w:rsidR="00E13705">
        <w:t>motiva</w:t>
      </w:r>
      <w:r>
        <w:rPr>
          <w:color w:val="000000" w:themeColor="text1"/>
        </w:rPr>
        <w:t xml:space="preserve"> a que los clientes controlen su uso energético mediante cambios sencillos en sus hogares que les permitan ahorrar energía.</w:t>
      </w:r>
    </w:p>
    <w:p w:rsidR="000C74EB" w:rsidRPr="002A0EC9" w:rsidRDefault="000C74EB" w:rsidP="000C74EB">
      <w:pPr>
        <w:shd w:val="clear" w:color="auto" w:fill="FFFFFF"/>
        <w:autoSpaceDE/>
        <w:autoSpaceDN/>
        <w:adjustRightInd/>
        <w:spacing w:after="240" w:line="336" w:lineRule="atLeast"/>
        <w:textAlignment w:val="baseline"/>
        <w:rPr>
          <w:iCs w:val="0"/>
          <w:color w:val="000000" w:themeColor="text1"/>
        </w:rPr>
      </w:pPr>
      <w:r>
        <w:rPr>
          <w:color w:val="000000" w:themeColor="text1"/>
        </w:rPr>
        <w:t>Tenga en cuenta que, cuando la temperatura exterior está alrededor de 5 grados por encima de lo normal, mantener la temperatura interior de una casa a 78 grados puede costarle a un cliente residencial promedio con una casa de 170 metros cuadrados donde vive una sola familia aproximadamente USD 2 adicionales por día. Las facturas de cada cliente pueden ser más altas o bajas según una serie de factores, como el tamaño de la casa y la familia, la eficacia del sistema de enfriamiento, el nivel de aislamiento y el ajuste de temperatura.</w:t>
      </w:r>
    </w:p>
    <w:p w:rsidR="000C74EB" w:rsidRPr="002A0EC9" w:rsidRDefault="000C74EB" w:rsidP="000C74EB">
      <w:pPr>
        <w:shd w:val="clear" w:color="auto" w:fill="FFFFFF"/>
        <w:autoSpaceDE/>
        <w:autoSpaceDN/>
        <w:adjustRightInd/>
        <w:spacing w:after="240" w:line="336" w:lineRule="atLeast"/>
        <w:textAlignment w:val="baseline"/>
        <w:rPr>
          <w:iCs w:val="0"/>
          <w:color w:val="000000" w:themeColor="text1"/>
        </w:rPr>
      </w:pPr>
      <w:r>
        <w:rPr>
          <w:color w:val="000000" w:themeColor="text1"/>
        </w:rPr>
        <w:t>“Mientras que varios días de un clima caluroso atípico pueden generar un aumento notable en su factura de electricidad, un período extendido de calor abrasador en el verano puede ocasionar picos en las facturas de algunos clientes”, comentó Joseph Pietrzak, el gerente de Productos y Servicios de Duke Energy Florida. “Alentamos a los clientes a que se comuniquen con nosotros para obtener consejos y ayuda sobre los cambios para ahorrar energía que pueden llevar a cabo para no tener que pagar el alto costo de la ineficacia energética durante los calurosos días de verano”.</w:t>
      </w:r>
    </w:p>
    <w:p w:rsidR="00D23518" w:rsidRPr="002A0EC9" w:rsidRDefault="000C74EB" w:rsidP="00717328">
      <w:pPr>
        <w:shd w:val="clear" w:color="auto" w:fill="FFFFFF"/>
        <w:autoSpaceDE/>
        <w:autoSpaceDN/>
        <w:adjustRightInd/>
        <w:spacing w:after="240" w:line="336" w:lineRule="atLeast"/>
        <w:textAlignment w:val="baseline"/>
        <w:rPr>
          <w:iCs w:val="0"/>
          <w:color w:val="000000" w:themeColor="text1"/>
        </w:rPr>
      </w:pPr>
      <w:r>
        <w:rPr>
          <w:color w:val="000000" w:themeColor="text1"/>
        </w:rPr>
        <w:t xml:space="preserve">Duke Energy Florida ofrece controles de uso energético en casa sin cargo para ayudar a los clientes a enterarse de cómo pueden reducir el uso eléctrico y ahorrar dinero. Mediante este servicio, que se puede realizar en línea, por teléfono o en persona, los asesores de energía de la empresa ofrecen recomendaciones para ahorrar energía y determinan la elegibilidad de los clientes para recibir reembolsos de la empresa a cambio de mejoras de eficiencia energética. </w:t>
      </w:r>
    </w:p>
    <w:p w:rsidR="00717328" w:rsidRPr="002A0EC9" w:rsidRDefault="00717328" w:rsidP="00717328">
      <w:pPr>
        <w:shd w:val="clear" w:color="auto" w:fill="FFFFFF"/>
        <w:autoSpaceDE/>
        <w:autoSpaceDN/>
        <w:adjustRightInd/>
        <w:spacing w:after="240" w:line="336" w:lineRule="atLeast"/>
        <w:textAlignment w:val="baseline"/>
        <w:rPr>
          <w:iCs w:val="0"/>
          <w:color w:val="000000" w:themeColor="text1"/>
        </w:rPr>
      </w:pPr>
      <w:r>
        <w:lastRenderedPageBreak/>
        <w:t xml:space="preserve">Una vez realizados los controles de uso energético en casa, los clientes en hogares con una sola familia reciben un kit de eficiencia energética sin cargo (los clientes que viven en departamentos, condominios, dúplex y pisos pueden postularse para el </w:t>
      </w:r>
      <w:hyperlink r:id="rId10">
        <w:r>
          <w:rPr>
            <w:rStyle w:val="Hyperlink"/>
            <w:color w:val="0000FF"/>
          </w:rPr>
          <w:t>Programa de mejoras energéticas de familias múltiples</w:t>
        </w:r>
      </w:hyperlink>
      <w:r>
        <w:rPr>
          <w:color w:val="000000" w:themeColor="text1"/>
        </w:rPr>
        <w:t xml:space="preserve">). El kit incluye productos que ayudan a conservar la energía y el agua, como un cabezal de ducha que ahorra energía, aireadores de grifo, un medidor de agua caliente, un termómetro de refrigeración/congelación, juntas aisladoras para puertas y ventanas, juntas aisladoras para interruptores y tomas de corriente y bombillas de ledes. </w:t>
      </w:r>
      <w:r>
        <w:t xml:space="preserve">Para registrarse, llame al </w:t>
      </w:r>
      <w:r>
        <w:rPr>
          <w:color w:val="000000" w:themeColor="text1"/>
        </w:rPr>
        <w:t xml:space="preserve">1.877.574.0340 o visite el sitio web de la empresa sobre </w:t>
      </w:r>
      <w:hyperlink r:id="rId11">
        <w:r>
          <w:rPr>
            <w:rStyle w:val="Hyperlink"/>
            <w:color w:val="0000FF"/>
          </w:rPr>
          <w:t>control de uso energético en casa</w:t>
        </w:r>
      </w:hyperlink>
      <w:r>
        <w:rPr>
          <w:color w:val="000000" w:themeColor="text1"/>
        </w:rPr>
        <w:t>.</w:t>
      </w:r>
    </w:p>
    <w:p w:rsidR="000C74EB" w:rsidRPr="002A0EC9" w:rsidRDefault="000C74EB" w:rsidP="000C74EB">
      <w:pPr>
        <w:shd w:val="clear" w:color="auto" w:fill="FFFFFF"/>
        <w:autoSpaceDE/>
        <w:autoSpaceDN/>
        <w:adjustRightInd/>
        <w:spacing w:after="240" w:line="336" w:lineRule="atLeast"/>
        <w:textAlignment w:val="baseline"/>
        <w:rPr>
          <w:iCs w:val="0"/>
          <w:color w:val="000000" w:themeColor="text1"/>
        </w:rPr>
      </w:pPr>
      <w:r>
        <w:rPr>
          <w:color w:val="000000" w:themeColor="text1"/>
        </w:rPr>
        <w:t>Además, Duke Energy Florida recomienda que los clientes tomen medidas para comenzar a ahorrar energía y dinero en el acto.</w:t>
      </w:r>
    </w:p>
    <w:p w:rsidR="000C74EB" w:rsidRPr="002A0EC9" w:rsidRDefault="000C74EB" w:rsidP="000C74EB">
      <w:pPr>
        <w:numPr>
          <w:ilvl w:val="0"/>
          <w:numId w:val="17"/>
        </w:numPr>
        <w:shd w:val="clear" w:color="auto" w:fill="FFFFFF"/>
        <w:autoSpaceDE/>
        <w:autoSpaceDN/>
        <w:adjustRightInd/>
        <w:spacing w:before="168" w:after="168" w:line="336" w:lineRule="atLeast"/>
        <w:ind w:left="225"/>
        <w:textAlignment w:val="baseline"/>
        <w:rPr>
          <w:iCs w:val="0"/>
          <w:color w:val="000000" w:themeColor="text1"/>
        </w:rPr>
      </w:pPr>
      <w:r>
        <w:rPr>
          <w:b/>
          <w:color w:val="000000" w:themeColor="text1"/>
        </w:rPr>
        <w:t>Configure el aire acondicionado a 78 grados o más.</w:t>
      </w:r>
      <w:r>
        <w:rPr>
          <w:color w:val="000000" w:themeColor="text1"/>
        </w:rPr>
        <w:t xml:space="preserve"> El aire acondicionado es el principal consumidor de energía en la mayoría de las casas de Florida y también es el dispositivo que funciona durante la mayor cantidad de horas en los picos de calor del verano. Para el enfriamiento, configure el termostato a 78 grados o más a fin de maximizar el ahorro energético. Por cada grado que el termostato esté configurado por encima de los 78 grados, los clientes pueden ahorrar hasta el 10 por ciento de sus gastos de enfriamiento. Los clientes que configuren el termostato a la temperatura recomendada durante todo el año pueden ahorrar hasta USD 300 en gastos energéticos anuales. Invierta en un termostato programable para facilitar el ahorro de energía.</w:t>
      </w:r>
    </w:p>
    <w:p w:rsidR="000C74EB" w:rsidRPr="002A0EC9" w:rsidRDefault="000C74EB" w:rsidP="000C74EB">
      <w:pPr>
        <w:numPr>
          <w:ilvl w:val="0"/>
          <w:numId w:val="17"/>
        </w:numPr>
        <w:shd w:val="clear" w:color="auto" w:fill="FFFFFF"/>
        <w:autoSpaceDE/>
        <w:autoSpaceDN/>
        <w:adjustRightInd/>
        <w:spacing w:before="168" w:after="168" w:line="336" w:lineRule="atLeast"/>
        <w:ind w:left="225"/>
        <w:textAlignment w:val="baseline"/>
        <w:rPr>
          <w:iCs w:val="0"/>
          <w:color w:val="000000" w:themeColor="text1"/>
        </w:rPr>
      </w:pPr>
      <w:r>
        <w:rPr>
          <w:b/>
          <w:color w:val="000000" w:themeColor="text1"/>
        </w:rPr>
        <w:t>Aproveche al máximo el ventilador.</w:t>
      </w:r>
      <w:r>
        <w:rPr>
          <w:color w:val="000000" w:themeColor="text1"/>
        </w:rPr>
        <w:t xml:space="preserve"> Los ventiladores de techo son una alternativa más económica que el aire acondicionado. Esto se debe a que los ventiladores hacen sentir a las personas varios grados más frescas sin realmente bajar la temperatura de la habitación y con una fracción de la energía que consume el aire acondicionado. Configure el ventilador para que gire en el sentido contrario a las agujas del reloj y asegúrese de apagarlo al salir de la habitación.</w:t>
      </w:r>
    </w:p>
    <w:p w:rsidR="000C74EB" w:rsidRPr="002A0EC9" w:rsidRDefault="000C74EB" w:rsidP="000C74EB">
      <w:pPr>
        <w:numPr>
          <w:ilvl w:val="0"/>
          <w:numId w:val="17"/>
        </w:numPr>
        <w:shd w:val="clear" w:color="auto" w:fill="FFFFFF"/>
        <w:autoSpaceDE/>
        <w:autoSpaceDN/>
        <w:adjustRightInd/>
        <w:spacing w:before="168" w:after="168" w:line="336" w:lineRule="atLeast"/>
        <w:ind w:left="225"/>
        <w:textAlignment w:val="baseline"/>
        <w:rPr>
          <w:iCs w:val="0"/>
          <w:color w:val="000000" w:themeColor="text1"/>
        </w:rPr>
      </w:pPr>
      <w:r>
        <w:rPr>
          <w:b/>
          <w:color w:val="000000" w:themeColor="text1"/>
        </w:rPr>
        <w:t xml:space="preserve">Ajuste la caldera. </w:t>
      </w:r>
      <w:r>
        <w:rPr>
          <w:color w:val="000000" w:themeColor="text1"/>
        </w:rPr>
        <w:t>Este es un cambio sencillo, y generalmente imperceptible, que continuará ahorrando energía con el tiempo. Programe la caldera a 120 grados en lugar de 140 para ahorrar hasta USD 85 en gastos energéticos anuales. Si sale de la ciudad, apáguela por completo. No es necesario calentar el agua sin utilizar. Además, una vez que vuelva a encenderla, la mayoría de los modelos volverán a calentar el agua a la temperatura programada en aproximadamente una hora.</w:t>
      </w:r>
    </w:p>
    <w:p w:rsidR="000C74EB" w:rsidRPr="002A0EC9" w:rsidRDefault="000C74EB" w:rsidP="000C74EB">
      <w:pPr>
        <w:numPr>
          <w:ilvl w:val="0"/>
          <w:numId w:val="17"/>
        </w:numPr>
        <w:shd w:val="clear" w:color="auto" w:fill="FFFFFF"/>
        <w:autoSpaceDE/>
        <w:autoSpaceDN/>
        <w:adjustRightInd/>
        <w:spacing w:line="336" w:lineRule="atLeast"/>
        <w:ind w:left="225"/>
        <w:textAlignment w:val="baseline"/>
        <w:rPr>
          <w:iCs w:val="0"/>
          <w:color w:val="000000" w:themeColor="text1"/>
        </w:rPr>
      </w:pPr>
      <w:r>
        <w:rPr>
          <w:b/>
          <w:color w:val="000000" w:themeColor="text1"/>
        </w:rPr>
        <w:lastRenderedPageBreak/>
        <w:t>Mejore el aislamiento del ático.</w:t>
      </w:r>
      <w:r>
        <w:rPr>
          <w:color w:val="000000" w:themeColor="text1"/>
        </w:rPr>
        <w:t xml:space="preserve"> Considere agregar otra capa de protección entre el espacio donde vive y las duras condiciones externas. Utilice aislamiento de clasificación R-38 o superior para reducir los elevados costos de enfriamiento y calefacción del hogar. Luego de realizar el </w:t>
      </w:r>
      <w:hyperlink r:id="rId12">
        <w:r>
          <w:rPr>
            <w:color w:val="000000" w:themeColor="text1"/>
            <w:bdr w:val="none" w:sz="0" w:space="0" w:color="auto" w:frame="1"/>
          </w:rPr>
          <w:t>control de uso energético en casa</w:t>
        </w:r>
      </w:hyperlink>
      <w:r>
        <w:t xml:space="preserve"> de </w:t>
      </w:r>
      <w:r>
        <w:rPr>
          <w:color w:val="000000" w:themeColor="text1"/>
        </w:rPr>
        <w:t>Duke Energy, los clientes pueden calificar para un </w:t>
      </w:r>
      <w:hyperlink r:id="rId13">
        <w:r>
          <w:rPr>
            <w:color w:val="000000" w:themeColor="text1"/>
            <w:bdr w:val="none" w:sz="0" w:space="0" w:color="auto" w:frame="1"/>
          </w:rPr>
          <w:t>reembolso de hasta USD 200</w:t>
        </w:r>
      </w:hyperlink>
      <w:r>
        <w:rPr>
          <w:color w:val="000000" w:themeColor="text1"/>
        </w:rPr>
        <w:t xml:space="preserve">. </w:t>
      </w:r>
    </w:p>
    <w:p w:rsidR="00A3557F" w:rsidRPr="002A0EC9" w:rsidRDefault="000C74EB" w:rsidP="00A3557F">
      <w:pPr>
        <w:numPr>
          <w:ilvl w:val="0"/>
          <w:numId w:val="17"/>
        </w:numPr>
        <w:shd w:val="clear" w:color="auto" w:fill="FFFFFF"/>
        <w:autoSpaceDE/>
        <w:autoSpaceDN/>
        <w:adjustRightInd/>
        <w:spacing w:before="168" w:after="168" w:line="336" w:lineRule="atLeast"/>
        <w:ind w:left="225"/>
        <w:textAlignment w:val="baseline"/>
        <w:rPr>
          <w:iCs w:val="0"/>
          <w:color w:val="000000" w:themeColor="text1"/>
        </w:rPr>
      </w:pPr>
      <w:r>
        <w:rPr>
          <w:b/>
          <w:color w:val="000000" w:themeColor="text1"/>
        </w:rPr>
        <w:t>Si no puede soportar el calor, salga de la cocina.</w:t>
      </w:r>
      <w:r>
        <w:rPr>
          <w:color w:val="000000" w:themeColor="text1"/>
        </w:rPr>
        <w:t xml:space="preserve"> Despliegue sus dotes culinarias en la parrilla. El uso del horno durante el calor del verano fuerza al aire acondicionado del hogar a trabajar más, lo cual eleva la factura de electricidad. Cocine a la parrilla al aire libre en lugar de hornear o asar para ahorrar energía y dinero.</w:t>
      </w:r>
    </w:p>
    <w:p w:rsidR="000C74EB" w:rsidRPr="002A0EC9" w:rsidRDefault="004C1DEB" w:rsidP="00A3557F">
      <w:pPr>
        <w:numPr>
          <w:ilvl w:val="0"/>
          <w:numId w:val="17"/>
        </w:numPr>
        <w:shd w:val="clear" w:color="auto" w:fill="FFFFFF"/>
        <w:autoSpaceDE/>
        <w:autoSpaceDN/>
        <w:adjustRightInd/>
        <w:spacing w:before="168" w:after="168" w:line="336" w:lineRule="atLeast"/>
        <w:ind w:left="225"/>
        <w:textAlignment w:val="baseline"/>
        <w:rPr>
          <w:iCs w:val="0"/>
          <w:color w:val="000000" w:themeColor="text1"/>
        </w:rPr>
      </w:pPr>
      <w:r>
        <w:rPr>
          <w:b/>
          <w:color w:val="000000" w:themeColor="text1"/>
        </w:rPr>
        <w:t>Deje que Duke Energy reduzca su factura por usted.</w:t>
      </w:r>
      <w:r>
        <w:rPr>
          <w:color w:val="000000" w:themeColor="text1"/>
        </w:rPr>
        <w:t xml:space="preserve"> </w:t>
      </w:r>
      <w:r>
        <w:t>Únase al programa</w:t>
      </w:r>
      <w:r>
        <w:rPr>
          <w:color w:val="000000" w:themeColor="text1"/>
        </w:rPr>
        <w:t xml:space="preserve"> </w:t>
      </w:r>
      <w:hyperlink r:id="rId14">
        <w:r>
          <w:rPr>
            <w:color w:val="000000" w:themeColor="text1"/>
            <w:bdr w:val="none" w:sz="0" w:space="0" w:color="auto" w:frame="1"/>
          </w:rPr>
          <w:t xml:space="preserve">EnergyWise </w:t>
        </w:r>
        <w:proofErr w:type="spellStart"/>
        <w:r>
          <w:rPr>
            <w:color w:val="000000" w:themeColor="text1"/>
            <w:bdr w:val="none" w:sz="0" w:space="0" w:color="auto" w:frame="1"/>
          </w:rPr>
          <w:t>Home</w:t>
        </w:r>
        <w:r>
          <w:rPr>
            <w:color w:val="000000" w:themeColor="text1"/>
            <w:bdr w:val="none" w:sz="0" w:space="0" w:color="auto" w:frame="1"/>
            <w:vertAlign w:val="superscript"/>
          </w:rPr>
          <w:t>SM</w:t>
        </w:r>
        <w:proofErr w:type="spellEnd"/>
      </w:hyperlink>
      <w:r>
        <w:rPr>
          <w:color w:val="000000" w:themeColor="text1"/>
        </w:rPr>
        <w:t xml:space="preserve"> y ahorre hasta USD 147 por año en su factura. EnergyWise Home es un programa gratuito que reduce el uso energético de los clientes participantes durante períodos de alta demanda. El programa funciona mediante ciclos de encendido y apagado de equipos eléctricos como calderas, bombas de piscinas y sistemas de calefacción o enfriamiento. El programa EnergyWise Home de Duke Energy Florida fue reconocido como uno de los mejores programas de respuesta a la demanda del país y recibió el Premio </w:t>
      </w:r>
      <w:proofErr w:type="spellStart"/>
      <w:r>
        <w:rPr>
          <w:color w:val="000000" w:themeColor="text1"/>
        </w:rPr>
        <w:t>Pacesetter</w:t>
      </w:r>
      <w:proofErr w:type="spellEnd"/>
      <w:r>
        <w:rPr>
          <w:color w:val="000000" w:themeColor="text1"/>
        </w:rPr>
        <w:t xml:space="preserve"> 2015 de </w:t>
      </w:r>
      <w:proofErr w:type="spellStart"/>
      <w:r>
        <w:rPr>
          <w:color w:val="000000" w:themeColor="text1"/>
        </w:rPr>
        <w:t>Peak</w:t>
      </w:r>
      <w:proofErr w:type="spellEnd"/>
      <w:r>
        <w:rPr>
          <w:color w:val="000000" w:themeColor="text1"/>
        </w:rPr>
        <w:t xml:space="preserve"> Load Management Alliance.</w:t>
      </w:r>
    </w:p>
    <w:p w:rsidR="000C74EB" w:rsidRPr="002A0EC9" w:rsidRDefault="000C74EB" w:rsidP="000C74EB">
      <w:pPr>
        <w:shd w:val="clear" w:color="auto" w:fill="FFFFFF"/>
        <w:autoSpaceDE/>
        <w:autoSpaceDN/>
        <w:adjustRightInd/>
        <w:spacing w:after="240" w:line="336" w:lineRule="atLeast"/>
        <w:textAlignment w:val="baseline"/>
        <w:rPr>
          <w:iCs w:val="0"/>
          <w:color w:val="000000" w:themeColor="text1"/>
        </w:rPr>
      </w:pPr>
      <w:r>
        <w:rPr>
          <w:color w:val="000000" w:themeColor="text1"/>
        </w:rPr>
        <w:t xml:space="preserve">Duke Energy es líder en la industria del desarrollo y la implementación de programas para ayudar a los clientes a ahorrar energía y dinero. Mediante los programas de ahorro de energía de la empresa, los clientes de Duke Energy Florida ahorraron, en conjunto, más de USD 1500 millones en gastos energéticos en los últimos 30 años. Esto representa electricidad suficiente para abastecer a más de un millón de hogares durante un año. </w:t>
      </w:r>
    </w:p>
    <w:p w:rsidR="002F73DE" w:rsidRDefault="002F73DE" w:rsidP="000C74EB">
      <w:pPr>
        <w:shd w:val="clear" w:color="auto" w:fill="FFFFFF"/>
        <w:autoSpaceDE/>
        <w:autoSpaceDN/>
        <w:adjustRightInd/>
        <w:spacing w:after="240" w:line="336" w:lineRule="atLeast"/>
        <w:textAlignment w:val="baseline"/>
        <w:rPr>
          <w:color w:val="000000" w:themeColor="text1"/>
        </w:rPr>
      </w:pPr>
      <w:r>
        <w:rPr>
          <w:color w:val="000000" w:themeColor="text1"/>
        </w:rPr>
        <w:t>Visite duke-energy.com/</w:t>
      </w:r>
      <w:proofErr w:type="spellStart"/>
      <w:r>
        <w:rPr>
          <w:color w:val="000000" w:themeColor="text1"/>
        </w:rPr>
        <w:t>save</w:t>
      </w:r>
      <w:proofErr w:type="spellEnd"/>
      <w:r>
        <w:rPr>
          <w:color w:val="000000" w:themeColor="text1"/>
        </w:rPr>
        <w:t xml:space="preserve"> para obtener más información sobre todos los programas y las iniciativas de ahorro energético de Duke Energy Florida.</w:t>
      </w:r>
    </w:p>
    <w:p w:rsidR="00220B47" w:rsidRPr="00220B47" w:rsidRDefault="00220B47" w:rsidP="00220B47">
      <w:pPr>
        <w:shd w:val="clear" w:color="auto" w:fill="FFFFFF"/>
        <w:autoSpaceDE/>
        <w:autoSpaceDN/>
        <w:adjustRightInd/>
        <w:spacing w:after="240" w:line="336" w:lineRule="atLeast"/>
        <w:textAlignment w:val="baseline"/>
        <w:rPr>
          <w:b/>
          <w:iCs w:val="0"/>
          <w:color w:val="365F91" w:themeColor="accent1" w:themeShade="BF"/>
        </w:rPr>
      </w:pPr>
      <w:r w:rsidRPr="00220B47">
        <w:rPr>
          <w:b/>
          <w:iCs w:val="0"/>
          <w:color w:val="365F91" w:themeColor="accent1" w:themeShade="BF"/>
        </w:rPr>
        <w:t>Duke Energy Florida</w:t>
      </w:r>
    </w:p>
    <w:p w:rsidR="00220B47" w:rsidRPr="00220B47" w:rsidRDefault="00220B47" w:rsidP="00220B47">
      <w:pPr>
        <w:shd w:val="clear" w:color="auto" w:fill="FFFFFF"/>
        <w:autoSpaceDE/>
        <w:autoSpaceDN/>
        <w:adjustRightInd/>
        <w:spacing w:after="240" w:line="336" w:lineRule="atLeast"/>
        <w:textAlignment w:val="baseline"/>
        <w:rPr>
          <w:iCs w:val="0"/>
          <w:color w:val="000000" w:themeColor="text1"/>
        </w:rPr>
      </w:pPr>
      <w:r w:rsidRPr="00220B47">
        <w:rPr>
          <w:iCs w:val="0"/>
          <w:color w:val="000000" w:themeColor="text1"/>
        </w:rPr>
        <w:t>Duke Energy Florida posee una generación de gas a base de carbón y de gas natural que provee aproximadamente 9.100 megavatios de capacidad eléctrica para aproximadamente 1,7 millones de clientes en un área de servicio de 21.000 kilómetros cuadrados.</w:t>
      </w:r>
    </w:p>
    <w:p w:rsidR="00220B47" w:rsidRPr="00220B47" w:rsidRDefault="00220B47" w:rsidP="00220B47">
      <w:pPr>
        <w:shd w:val="clear" w:color="auto" w:fill="FFFFFF"/>
        <w:autoSpaceDE/>
        <w:autoSpaceDN/>
        <w:adjustRightInd/>
        <w:spacing w:after="240" w:line="336" w:lineRule="atLeast"/>
        <w:textAlignment w:val="baseline"/>
        <w:rPr>
          <w:iCs w:val="0"/>
          <w:color w:val="000000" w:themeColor="text1"/>
        </w:rPr>
      </w:pPr>
      <w:r w:rsidRPr="00220B47">
        <w:rPr>
          <w:iCs w:val="0"/>
          <w:color w:val="000000" w:themeColor="text1"/>
        </w:rPr>
        <w:lastRenderedPageBreak/>
        <w:t xml:space="preserve">Su sede regional de Florida está ubicada en St. Petersburg, </w:t>
      </w:r>
      <w:proofErr w:type="spellStart"/>
      <w:r w:rsidRPr="00220B47">
        <w:rPr>
          <w:iCs w:val="0"/>
          <w:color w:val="000000" w:themeColor="text1"/>
        </w:rPr>
        <w:t>Fla</w:t>
      </w:r>
      <w:proofErr w:type="spellEnd"/>
      <w:r w:rsidRPr="00220B47">
        <w:rPr>
          <w:iCs w:val="0"/>
          <w:color w:val="000000" w:themeColor="text1"/>
        </w:rPr>
        <w:t xml:space="preserve">. y Duke Energy es una de las compañías de energía más grandes de los Estados Unidos. Sus operaciones de utilidad reguladas prestan servicio a aproximadamente 7,4 millones de clientes energéticos ubicados en seis estados del sudeste y del medio oeste, que representan una población de aproximadamente 24 millones de personas. Su cartera comercial y sus sectores de comercio internacional son dueños y operan distintos activos de generación de energía en América del Norte y Latinoamérica, incluida una cartera creciente de activos de energía renovable en los Estados Unidos. </w:t>
      </w:r>
    </w:p>
    <w:p w:rsidR="00220B47" w:rsidRPr="00220B47" w:rsidRDefault="00220B47" w:rsidP="00220B47">
      <w:pPr>
        <w:shd w:val="clear" w:color="auto" w:fill="FFFFFF"/>
        <w:autoSpaceDE/>
        <w:autoSpaceDN/>
        <w:adjustRightInd/>
        <w:spacing w:after="240" w:line="336" w:lineRule="atLeast"/>
        <w:textAlignment w:val="baseline"/>
        <w:rPr>
          <w:iCs w:val="0"/>
          <w:color w:val="000000" w:themeColor="text1"/>
        </w:rPr>
      </w:pPr>
      <w:r w:rsidRPr="00220B47">
        <w:rPr>
          <w:iCs w:val="0"/>
          <w:color w:val="000000" w:themeColor="text1"/>
        </w:rPr>
        <w:t xml:space="preserve">Ubicada en Charlotte, N.C., Duke Energy es una compañía ubicada en el puesto 125 de la lista </w:t>
      </w:r>
      <w:proofErr w:type="spellStart"/>
      <w:r w:rsidRPr="00220B47">
        <w:rPr>
          <w:iCs w:val="0"/>
          <w:color w:val="000000" w:themeColor="text1"/>
        </w:rPr>
        <w:t>Fortune</w:t>
      </w:r>
      <w:proofErr w:type="spellEnd"/>
      <w:r w:rsidRPr="00220B47">
        <w:rPr>
          <w:iCs w:val="0"/>
          <w:color w:val="000000" w:themeColor="text1"/>
        </w:rPr>
        <w:t xml:space="preserve"> 500 comercializada en la bolsa de Nueva York bajo el símbolo DUK. Más información disponible sobre la compañía en duke-energy.com. </w:t>
      </w:r>
    </w:p>
    <w:p w:rsidR="00220B47" w:rsidRPr="00220B47" w:rsidRDefault="00220B47" w:rsidP="00220B47">
      <w:pPr>
        <w:shd w:val="clear" w:color="auto" w:fill="FFFFFF"/>
        <w:autoSpaceDE/>
        <w:autoSpaceDN/>
        <w:adjustRightInd/>
        <w:spacing w:after="240" w:line="336" w:lineRule="atLeast"/>
        <w:textAlignment w:val="baseline"/>
        <w:rPr>
          <w:iCs w:val="0"/>
          <w:color w:val="000000" w:themeColor="text1"/>
        </w:rPr>
      </w:pPr>
      <w:r w:rsidRPr="00220B47">
        <w:rPr>
          <w:iCs w:val="0"/>
          <w:color w:val="000000" w:themeColor="text1"/>
        </w:rPr>
        <w:t xml:space="preserve">El Duke Energy News Center sirve como recurso multimedia para periodistas e incluye comunicados de prensa, enlaces útiles, fotos y videos. </w:t>
      </w:r>
      <w:proofErr w:type="spellStart"/>
      <w:r w:rsidRPr="00220B47">
        <w:rPr>
          <w:iCs w:val="0"/>
          <w:color w:val="000000" w:themeColor="text1"/>
        </w:rPr>
        <w:t>Illumination</w:t>
      </w:r>
      <w:proofErr w:type="spellEnd"/>
      <w:r w:rsidRPr="00220B47">
        <w:rPr>
          <w:iCs w:val="0"/>
          <w:color w:val="000000" w:themeColor="text1"/>
        </w:rPr>
        <w:t xml:space="preserve"> es un destino en línea para historias sobre gente excepcional, innovaciones y temas acerca de la comunidad y del ambiente organizado por Duke Energy. También ofrece un vistazo hacia el pasado y reflexiones sobre el futuro de la energía. </w:t>
      </w:r>
    </w:p>
    <w:p w:rsidR="00220B47" w:rsidRPr="00220B47" w:rsidRDefault="00220B47" w:rsidP="00220B47">
      <w:pPr>
        <w:shd w:val="clear" w:color="auto" w:fill="FFFFFF"/>
        <w:autoSpaceDE/>
        <w:autoSpaceDN/>
        <w:adjustRightInd/>
        <w:spacing w:after="240" w:line="336" w:lineRule="atLeast"/>
        <w:textAlignment w:val="baseline"/>
        <w:rPr>
          <w:iCs w:val="0"/>
          <w:color w:val="000000" w:themeColor="text1"/>
        </w:rPr>
      </w:pPr>
      <w:r w:rsidRPr="00220B47">
        <w:rPr>
          <w:iCs w:val="0"/>
          <w:color w:val="000000" w:themeColor="text1"/>
        </w:rPr>
        <w:t>Siga a Duke Energy en Twitter, LinkedIn, Instagram y Facebook.</w:t>
      </w:r>
    </w:p>
    <w:p w:rsidR="00220B47" w:rsidRPr="002A0EC9" w:rsidRDefault="00220B47" w:rsidP="00220B47">
      <w:pPr>
        <w:shd w:val="clear" w:color="auto" w:fill="FFFFFF"/>
        <w:autoSpaceDE/>
        <w:autoSpaceDN/>
        <w:adjustRightInd/>
        <w:spacing w:after="240" w:line="336" w:lineRule="atLeast"/>
        <w:jc w:val="center"/>
        <w:textAlignment w:val="baseline"/>
        <w:rPr>
          <w:iCs w:val="0"/>
          <w:color w:val="000000" w:themeColor="text1"/>
        </w:rPr>
      </w:pPr>
      <w:r w:rsidRPr="00220B47">
        <w:rPr>
          <w:iCs w:val="0"/>
          <w:color w:val="000000" w:themeColor="text1"/>
        </w:rPr>
        <w:t>###</w:t>
      </w:r>
    </w:p>
    <w:sectPr w:rsidR="00220B47" w:rsidRPr="002A0EC9" w:rsidSect="00725535">
      <w:headerReference w:type="even" r:id="rId15"/>
      <w:headerReference w:type="default" r:id="rId16"/>
      <w:headerReference w:type="first" r:id="rId17"/>
      <w:footerReference w:type="first" r:id="rId18"/>
      <w:type w:val="continuous"/>
      <w:pgSz w:w="12240" w:h="15840" w:code="1"/>
      <w:pgMar w:top="1805" w:right="1440" w:bottom="1440" w:left="1440"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59BD" w:rsidRDefault="007259BD" w:rsidP="00F61BCC">
      <w:r>
        <w:separator/>
      </w:r>
    </w:p>
    <w:p w:rsidR="007259BD" w:rsidRDefault="007259BD" w:rsidP="00F61BCC"/>
    <w:p w:rsidR="007259BD" w:rsidRDefault="007259BD" w:rsidP="00F61BCC"/>
    <w:p w:rsidR="007259BD" w:rsidRDefault="007259BD" w:rsidP="00F61BCC"/>
    <w:p w:rsidR="007259BD" w:rsidRDefault="007259BD"/>
    <w:p w:rsidR="007259BD" w:rsidRDefault="007259BD" w:rsidP="002F73DE"/>
    <w:p w:rsidR="007259BD" w:rsidRDefault="007259BD" w:rsidP="002F73DE"/>
    <w:p w:rsidR="007259BD" w:rsidRDefault="007259BD" w:rsidP="002F73DE"/>
    <w:p w:rsidR="007259BD" w:rsidRDefault="007259BD" w:rsidP="002F73DE"/>
    <w:p w:rsidR="007259BD" w:rsidRDefault="007259BD"/>
    <w:p w:rsidR="007259BD" w:rsidRDefault="007259BD" w:rsidP="00220B47"/>
    <w:p w:rsidR="007259BD" w:rsidRDefault="007259BD" w:rsidP="00220B47"/>
  </w:endnote>
  <w:endnote w:type="continuationSeparator" w:id="0">
    <w:p w:rsidR="007259BD" w:rsidRDefault="007259BD" w:rsidP="00F61BCC">
      <w:r>
        <w:continuationSeparator/>
      </w:r>
    </w:p>
    <w:p w:rsidR="007259BD" w:rsidRDefault="007259BD" w:rsidP="00F61BCC"/>
    <w:p w:rsidR="007259BD" w:rsidRDefault="007259BD" w:rsidP="00F61BCC"/>
    <w:p w:rsidR="007259BD" w:rsidRDefault="007259BD" w:rsidP="00F61BCC"/>
    <w:p w:rsidR="007259BD" w:rsidRDefault="007259BD"/>
    <w:p w:rsidR="007259BD" w:rsidRDefault="007259BD" w:rsidP="002F73DE"/>
    <w:p w:rsidR="007259BD" w:rsidRDefault="007259BD" w:rsidP="002F73DE"/>
    <w:p w:rsidR="007259BD" w:rsidRDefault="007259BD" w:rsidP="002F73DE"/>
    <w:p w:rsidR="007259BD" w:rsidRDefault="007259BD" w:rsidP="002F73DE"/>
    <w:p w:rsidR="007259BD" w:rsidRDefault="007259BD"/>
    <w:p w:rsidR="007259BD" w:rsidRDefault="007259BD" w:rsidP="00220B47"/>
    <w:p w:rsidR="007259BD" w:rsidRDefault="007259BD" w:rsidP="00220B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ヒラギノ角ゴ Pro W3">
    <w:altName w:val="MS Mincho"/>
    <w:charset w:val="4E"/>
    <w:family w:val="auto"/>
    <w:pitch w:val="variable"/>
    <w:sig w:usb0="00000000" w:usb1="08070000" w:usb2="00000010" w:usb3="00000000" w:csb0="00020000"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45B1" w:rsidRPr="00E72AF8" w:rsidRDefault="00F345B1" w:rsidP="00155CE3">
    <w:pPr>
      <w:pStyle w:val="10-Address-Footer"/>
    </w:pPr>
    <w:r>
      <w:t xml:space="preserve">Duke Energy </w:t>
    </w:r>
    <w:proofErr w:type="spellStart"/>
    <w:r>
      <w:t>Corporation</w:t>
    </w:r>
    <w:proofErr w:type="spellEnd"/>
    <w:r>
      <w:t xml:space="preserve"> | P.O. Box 1009 | Charlotte, Carolina del Norte  28201-1009 | www.duke-energy.com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59BD" w:rsidRDefault="007259BD" w:rsidP="00F61BCC">
      <w:r>
        <w:separator/>
      </w:r>
    </w:p>
    <w:p w:rsidR="007259BD" w:rsidRDefault="007259BD" w:rsidP="00F61BCC"/>
    <w:p w:rsidR="007259BD" w:rsidRDefault="007259BD" w:rsidP="00F61BCC"/>
    <w:p w:rsidR="007259BD" w:rsidRDefault="007259BD" w:rsidP="00F61BCC"/>
    <w:p w:rsidR="007259BD" w:rsidRDefault="007259BD"/>
    <w:p w:rsidR="007259BD" w:rsidRDefault="007259BD" w:rsidP="002F73DE"/>
    <w:p w:rsidR="007259BD" w:rsidRDefault="007259BD" w:rsidP="002F73DE"/>
    <w:p w:rsidR="007259BD" w:rsidRDefault="007259BD" w:rsidP="002F73DE"/>
    <w:p w:rsidR="007259BD" w:rsidRDefault="007259BD" w:rsidP="002F73DE"/>
    <w:p w:rsidR="007259BD" w:rsidRDefault="007259BD"/>
    <w:p w:rsidR="007259BD" w:rsidRDefault="007259BD" w:rsidP="00220B47"/>
    <w:p w:rsidR="007259BD" w:rsidRDefault="007259BD" w:rsidP="00220B47"/>
  </w:footnote>
  <w:footnote w:type="continuationSeparator" w:id="0">
    <w:p w:rsidR="007259BD" w:rsidRDefault="007259BD" w:rsidP="00F61BCC">
      <w:r>
        <w:continuationSeparator/>
      </w:r>
    </w:p>
    <w:p w:rsidR="007259BD" w:rsidRDefault="007259BD" w:rsidP="00F61BCC"/>
    <w:p w:rsidR="007259BD" w:rsidRDefault="007259BD" w:rsidP="00F61BCC"/>
    <w:p w:rsidR="007259BD" w:rsidRDefault="007259BD" w:rsidP="00F61BCC"/>
    <w:p w:rsidR="007259BD" w:rsidRDefault="007259BD"/>
    <w:p w:rsidR="007259BD" w:rsidRDefault="007259BD" w:rsidP="002F73DE"/>
    <w:p w:rsidR="007259BD" w:rsidRDefault="007259BD" w:rsidP="002F73DE"/>
    <w:p w:rsidR="007259BD" w:rsidRDefault="007259BD" w:rsidP="002F73DE"/>
    <w:p w:rsidR="007259BD" w:rsidRDefault="007259BD" w:rsidP="002F73DE"/>
    <w:p w:rsidR="007259BD" w:rsidRDefault="007259BD"/>
    <w:p w:rsidR="007259BD" w:rsidRDefault="007259BD" w:rsidP="00220B47"/>
    <w:p w:rsidR="007259BD" w:rsidRDefault="007259BD" w:rsidP="00220B4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45B1" w:rsidRDefault="00F345B1" w:rsidP="00F61BCC">
    <w:pPr>
      <w:pStyle w:val="Header"/>
      <w:rPr>
        <w:rStyle w:val="PageNumber"/>
      </w:rPr>
    </w:pPr>
    <w:r>
      <w:rPr>
        <w:rStyle w:val="PageNumber"/>
      </w:rPr>
      <w:fldChar w:fldCharType="begin"/>
    </w:r>
    <w:r>
      <w:rPr>
        <w:rStyle w:val="PageNumber"/>
      </w:rPr>
      <w:instrText xml:space="preserve">PAGE  </w:instrText>
    </w:r>
    <w:r>
      <w:rPr>
        <w:rStyle w:val="PageNumber"/>
      </w:rPr>
      <w:fldChar w:fldCharType="end"/>
    </w:r>
  </w:p>
  <w:p w:rsidR="00F345B1" w:rsidRDefault="000B6D4B" w:rsidP="00F61BCC">
    <w:pPr>
      <w:pStyle w:val="Header"/>
    </w:pPr>
    <w:r>
      <w:rPr>
        <w:noProof/>
        <w:lang w:val="en-US" w:eastAsia="en-US" w:bidi="ar-SA"/>
      </w:rPr>
      <w:drawing>
        <wp:anchor distT="0" distB="0" distL="114300" distR="114300" simplePos="0" relativeHeight="251656192" behindDoc="1" locked="0" layoutInCell="1" allowOverlap="1" wp14:anchorId="2C64BD01" wp14:editId="2FB38B3B">
          <wp:simplePos x="0" y="0"/>
          <wp:positionH relativeFrom="margin">
            <wp:align>center</wp:align>
          </wp:positionH>
          <wp:positionV relativeFrom="margin">
            <wp:align>center</wp:align>
          </wp:positionV>
          <wp:extent cx="7772400" cy="10058400"/>
          <wp:effectExtent l="0" t="0" r="0" b="0"/>
          <wp:wrapNone/>
          <wp:docPr id="4" name="Picture 7" descr="03152002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03152002_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14:sizeRelH relativeFrom="page">
            <wp14:pctWidth>0</wp14:pctWidth>
          </wp14:sizeRelH>
          <wp14:sizeRelV relativeFrom="page">
            <wp14:pctHeight>0</wp14:pctHeight>
          </wp14:sizeRelV>
        </wp:anchor>
      </w:drawing>
    </w:r>
    <w:r w:rsidR="00F40B08">
      <w:rPr>
        <w:noProof/>
      </w:rPr>
      <w:pict w14:anchorId="5F74BF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margin-left:0;margin-top:0;width:612pt;height:11in;z-index:-251657216;mso-position-horizontal:center;mso-position-horizontal-relative:margin;mso-position-vertical:center;mso-position-vertical-relative:margin" wrapcoords="16332 1555 16253 1882 2541 1902 2541 2209 18344 2209 2515 2455 2515 2495 10800 2536 10800 20536 12865 20639 15856 20720 16835 20720 17153 20720 17815 20700 17682 20536 10800 20536 10800 2536 19112 2495 18953 2209 19218 2189 19085 1943 18556 1882 18635 1636 18159 1555 16332 1555">
          <v:imagedata r:id="rId2" o:title="03152002_01"/>
          <w10:wrap anchorx="margin" anchory="margin"/>
        </v:shape>
      </w:pict>
    </w:r>
  </w:p>
  <w:p w:rsidR="00F345B1" w:rsidRDefault="00F345B1" w:rsidP="00F61BCC"/>
  <w:p w:rsidR="00F345B1" w:rsidRDefault="00F345B1" w:rsidP="00F61BCC"/>
  <w:p w:rsidR="00F345B1" w:rsidRDefault="00F345B1" w:rsidP="00F61BCC"/>
  <w:p w:rsidR="003A01CB" w:rsidRDefault="003A01CB"/>
  <w:p w:rsidR="003A01CB" w:rsidRDefault="003A01CB" w:rsidP="002F73DE"/>
  <w:p w:rsidR="003A01CB" w:rsidRDefault="003A01CB" w:rsidP="002F73DE"/>
  <w:p w:rsidR="003A01CB" w:rsidRDefault="003A01CB" w:rsidP="002F73DE"/>
  <w:p w:rsidR="003A01CB" w:rsidRDefault="003A01CB" w:rsidP="002F73DE"/>
  <w:p w:rsidR="00416D18" w:rsidRDefault="00416D18"/>
  <w:p w:rsidR="00416D18" w:rsidRDefault="00416D18" w:rsidP="00220B47"/>
  <w:p w:rsidR="00416D18" w:rsidRDefault="00416D18" w:rsidP="00220B4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45B1" w:rsidRPr="00155CE3" w:rsidRDefault="00F345B1" w:rsidP="00155CE3">
    <w:pPr>
      <w:pStyle w:val="Header"/>
      <w:rPr>
        <w:color w:val="00B0F0"/>
        <w:sz w:val="18"/>
        <w:szCs w:val="18"/>
      </w:rPr>
    </w:pPr>
    <w:r>
      <w:rPr>
        <w:color w:val="00B0F0"/>
        <w:sz w:val="18"/>
      </w:rPr>
      <w:t xml:space="preserve">Boletín de prensa de Duke News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45B1" w:rsidRDefault="000B6D4B">
    <w:pPr>
      <w:pStyle w:val="Header"/>
    </w:pPr>
    <w:r>
      <w:rPr>
        <w:noProof/>
        <w:lang w:val="en-US" w:eastAsia="en-US" w:bidi="ar-SA"/>
      </w:rPr>
      <w:drawing>
        <wp:anchor distT="0" distB="0" distL="114300" distR="114300" simplePos="0" relativeHeight="251657216" behindDoc="0" locked="0" layoutInCell="1" allowOverlap="1" wp14:anchorId="712C5E42" wp14:editId="4E28EFBB">
          <wp:simplePos x="0" y="0"/>
          <wp:positionH relativeFrom="column">
            <wp:posOffset>-69850</wp:posOffset>
          </wp:positionH>
          <wp:positionV relativeFrom="paragraph">
            <wp:posOffset>184150</wp:posOffset>
          </wp:positionV>
          <wp:extent cx="1346200" cy="222250"/>
          <wp:effectExtent l="0" t="0" r="0" b="6350"/>
          <wp:wrapNone/>
          <wp:docPr id="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6200" cy="2222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bidi="ar-SA"/>
      </w:rPr>
      <w:drawing>
        <wp:anchor distT="0" distB="0" distL="114300" distR="114300" simplePos="0" relativeHeight="251658240" behindDoc="0" locked="0" layoutInCell="1" allowOverlap="1" wp14:anchorId="1381A630" wp14:editId="6FD13D53">
          <wp:simplePos x="0" y="0"/>
          <wp:positionH relativeFrom="page">
            <wp:posOffset>5684520</wp:posOffset>
          </wp:positionH>
          <wp:positionV relativeFrom="page">
            <wp:posOffset>431165</wp:posOffset>
          </wp:positionV>
          <wp:extent cx="1173480" cy="399415"/>
          <wp:effectExtent l="0" t="0" r="0" b="6985"/>
          <wp:wrapThrough wrapText="bothSides">
            <wp:wrapPolygon edited="0">
              <wp:start x="2338" y="0"/>
              <wp:lineTo x="0" y="6868"/>
              <wp:lineTo x="0" y="12362"/>
              <wp:lineTo x="1870" y="20604"/>
              <wp:lineTo x="21039" y="20604"/>
              <wp:lineTo x="21039" y="0"/>
              <wp:lineTo x="5143" y="0"/>
              <wp:lineTo x="2338" y="0"/>
            </wp:wrapPolygon>
          </wp:wrapThrough>
          <wp:docPr id="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73480" cy="3994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AC3C1D4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2C20024"/>
    <w:multiLevelType w:val="hybridMultilevel"/>
    <w:tmpl w:val="E8E41722"/>
    <w:lvl w:ilvl="0" w:tplc="B8286DD6">
      <w:start w:val="1"/>
      <w:numFmt w:val="bullet"/>
      <w:lvlText w:val=""/>
      <w:lvlJc w:val="left"/>
      <w:pPr>
        <w:ind w:left="360" w:hanging="360"/>
      </w:pPr>
      <w:rPr>
        <w:rFonts w:ascii="Wingdings" w:hAnsi="Wingdings" w:hint="default"/>
        <w:color w:val="32B1C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7E91F08"/>
    <w:multiLevelType w:val="hybridMultilevel"/>
    <w:tmpl w:val="60981AB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380"/>
        </w:tabs>
        <w:ind w:left="1380" w:hanging="360"/>
      </w:pPr>
      <w:rPr>
        <w:rFonts w:ascii="Courier New" w:hAnsi="Courier New" w:cs="Courier New" w:hint="default"/>
      </w:rPr>
    </w:lvl>
    <w:lvl w:ilvl="2" w:tplc="04090005" w:tentative="1">
      <w:start w:val="1"/>
      <w:numFmt w:val="bullet"/>
      <w:lvlText w:val=""/>
      <w:lvlJc w:val="left"/>
      <w:pPr>
        <w:tabs>
          <w:tab w:val="num" w:pos="2100"/>
        </w:tabs>
        <w:ind w:left="2100" w:hanging="360"/>
      </w:pPr>
      <w:rPr>
        <w:rFonts w:ascii="Wingdings" w:hAnsi="Wingdings" w:hint="default"/>
      </w:rPr>
    </w:lvl>
    <w:lvl w:ilvl="3" w:tplc="04090001" w:tentative="1">
      <w:start w:val="1"/>
      <w:numFmt w:val="bullet"/>
      <w:lvlText w:val=""/>
      <w:lvlJc w:val="left"/>
      <w:pPr>
        <w:tabs>
          <w:tab w:val="num" w:pos="2820"/>
        </w:tabs>
        <w:ind w:left="2820" w:hanging="360"/>
      </w:pPr>
      <w:rPr>
        <w:rFonts w:ascii="Symbol" w:hAnsi="Symbol" w:hint="default"/>
      </w:rPr>
    </w:lvl>
    <w:lvl w:ilvl="4" w:tplc="04090003" w:tentative="1">
      <w:start w:val="1"/>
      <w:numFmt w:val="bullet"/>
      <w:lvlText w:val="o"/>
      <w:lvlJc w:val="left"/>
      <w:pPr>
        <w:tabs>
          <w:tab w:val="num" w:pos="3540"/>
        </w:tabs>
        <w:ind w:left="3540" w:hanging="360"/>
      </w:pPr>
      <w:rPr>
        <w:rFonts w:ascii="Courier New" w:hAnsi="Courier New" w:cs="Courier New" w:hint="default"/>
      </w:rPr>
    </w:lvl>
    <w:lvl w:ilvl="5" w:tplc="04090005" w:tentative="1">
      <w:start w:val="1"/>
      <w:numFmt w:val="bullet"/>
      <w:lvlText w:val=""/>
      <w:lvlJc w:val="left"/>
      <w:pPr>
        <w:tabs>
          <w:tab w:val="num" w:pos="4260"/>
        </w:tabs>
        <w:ind w:left="4260" w:hanging="360"/>
      </w:pPr>
      <w:rPr>
        <w:rFonts w:ascii="Wingdings" w:hAnsi="Wingdings" w:hint="default"/>
      </w:rPr>
    </w:lvl>
    <w:lvl w:ilvl="6" w:tplc="04090001" w:tentative="1">
      <w:start w:val="1"/>
      <w:numFmt w:val="bullet"/>
      <w:lvlText w:val=""/>
      <w:lvlJc w:val="left"/>
      <w:pPr>
        <w:tabs>
          <w:tab w:val="num" w:pos="4980"/>
        </w:tabs>
        <w:ind w:left="4980" w:hanging="360"/>
      </w:pPr>
      <w:rPr>
        <w:rFonts w:ascii="Symbol" w:hAnsi="Symbol" w:hint="default"/>
      </w:rPr>
    </w:lvl>
    <w:lvl w:ilvl="7" w:tplc="04090003" w:tentative="1">
      <w:start w:val="1"/>
      <w:numFmt w:val="bullet"/>
      <w:lvlText w:val="o"/>
      <w:lvlJc w:val="left"/>
      <w:pPr>
        <w:tabs>
          <w:tab w:val="num" w:pos="5700"/>
        </w:tabs>
        <w:ind w:left="5700" w:hanging="360"/>
      </w:pPr>
      <w:rPr>
        <w:rFonts w:ascii="Courier New" w:hAnsi="Courier New" w:cs="Courier New" w:hint="default"/>
      </w:rPr>
    </w:lvl>
    <w:lvl w:ilvl="8" w:tplc="04090005" w:tentative="1">
      <w:start w:val="1"/>
      <w:numFmt w:val="bullet"/>
      <w:lvlText w:val=""/>
      <w:lvlJc w:val="left"/>
      <w:pPr>
        <w:tabs>
          <w:tab w:val="num" w:pos="6420"/>
        </w:tabs>
        <w:ind w:left="6420" w:hanging="360"/>
      </w:pPr>
      <w:rPr>
        <w:rFonts w:ascii="Wingdings" w:hAnsi="Wingdings" w:hint="default"/>
      </w:rPr>
    </w:lvl>
  </w:abstractNum>
  <w:abstractNum w:abstractNumId="3">
    <w:nsid w:val="0A477F97"/>
    <w:multiLevelType w:val="hybridMultilevel"/>
    <w:tmpl w:val="42EA92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0B7655AA"/>
    <w:multiLevelType w:val="hybridMultilevel"/>
    <w:tmpl w:val="274039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9C1422A"/>
    <w:multiLevelType w:val="multilevel"/>
    <w:tmpl w:val="057A7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32B695F"/>
    <w:multiLevelType w:val="hybridMultilevel"/>
    <w:tmpl w:val="6C5C8D3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B6A2FCE"/>
    <w:multiLevelType w:val="hybridMultilevel"/>
    <w:tmpl w:val="38B00FA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7DA774E"/>
    <w:multiLevelType w:val="hybridMultilevel"/>
    <w:tmpl w:val="B3E601CC"/>
    <w:lvl w:ilvl="0" w:tplc="B8286DD6">
      <w:start w:val="1"/>
      <w:numFmt w:val="bullet"/>
      <w:lvlText w:val=""/>
      <w:lvlJc w:val="left"/>
      <w:pPr>
        <w:ind w:left="720" w:hanging="360"/>
      </w:pPr>
      <w:rPr>
        <w:rFonts w:ascii="Wingdings" w:hAnsi="Wingdings" w:hint="default"/>
        <w:color w:val="32B1C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60031FC"/>
    <w:multiLevelType w:val="hybridMultilevel"/>
    <w:tmpl w:val="8D36CF0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783229A"/>
    <w:multiLevelType w:val="hybridMultilevel"/>
    <w:tmpl w:val="39E0914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2694B2F"/>
    <w:multiLevelType w:val="hybridMultilevel"/>
    <w:tmpl w:val="07AA7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4F15804"/>
    <w:multiLevelType w:val="multilevel"/>
    <w:tmpl w:val="38B00FA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nsid w:val="598D4F67"/>
    <w:multiLevelType w:val="multilevel"/>
    <w:tmpl w:val="38B00FA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nsid w:val="6C8C729E"/>
    <w:multiLevelType w:val="hybridMultilevel"/>
    <w:tmpl w:val="D354E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3CA55F9"/>
    <w:multiLevelType w:val="hybridMultilevel"/>
    <w:tmpl w:val="1778BC30"/>
    <w:lvl w:ilvl="0" w:tplc="26562702">
      <w:start w:val="1"/>
      <w:numFmt w:val="bullet"/>
      <w:pStyle w:val="07-BulletedText"/>
      <w:lvlText w:val=""/>
      <w:lvlJc w:val="left"/>
      <w:pPr>
        <w:ind w:left="720" w:hanging="360"/>
      </w:pPr>
      <w:rPr>
        <w:rFonts w:ascii="Wingdings" w:hAnsi="Wingdings" w:hint="default"/>
        <w:color w:val="32B1CE"/>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3"/>
  </w:num>
  <w:num w:numId="4">
    <w:abstractNumId w:val="1"/>
  </w:num>
  <w:num w:numId="5">
    <w:abstractNumId w:val="14"/>
  </w:num>
  <w:num w:numId="6">
    <w:abstractNumId w:val="7"/>
  </w:num>
  <w:num w:numId="7">
    <w:abstractNumId w:val="12"/>
  </w:num>
  <w:num w:numId="8">
    <w:abstractNumId w:val="13"/>
  </w:num>
  <w:num w:numId="9">
    <w:abstractNumId w:val="15"/>
  </w:num>
  <w:num w:numId="10">
    <w:abstractNumId w:val="6"/>
  </w:num>
  <w:num w:numId="11">
    <w:abstractNumId w:val="10"/>
  </w:num>
  <w:num w:numId="12">
    <w:abstractNumId w:val="9"/>
  </w:num>
  <w:num w:numId="13">
    <w:abstractNumId w:val="15"/>
  </w:num>
  <w:num w:numId="14">
    <w:abstractNumId w:val="1"/>
  </w:num>
  <w:num w:numId="15">
    <w:abstractNumId w:val="0"/>
  </w:num>
  <w:num w:numId="16">
    <w:abstractNumId w:val="8"/>
  </w:num>
  <w:num w:numId="17">
    <w:abstractNumId w:val="5"/>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proofState w:spelling="clean"/>
  <w:attachedTemplate r:id="rId1"/>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2CCC"/>
    <w:rsid w:val="00016AF0"/>
    <w:rsid w:val="00030C90"/>
    <w:rsid w:val="000321C9"/>
    <w:rsid w:val="00046AB7"/>
    <w:rsid w:val="00050E99"/>
    <w:rsid w:val="0005323F"/>
    <w:rsid w:val="00060FAF"/>
    <w:rsid w:val="000743B5"/>
    <w:rsid w:val="00075ACE"/>
    <w:rsid w:val="00075C05"/>
    <w:rsid w:val="0008361B"/>
    <w:rsid w:val="000911FA"/>
    <w:rsid w:val="00091D1A"/>
    <w:rsid w:val="0009425C"/>
    <w:rsid w:val="0009507B"/>
    <w:rsid w:val="0009776B"/>
    <w:rsid w:val="00097CC4"/>
    <w:rsid w:val="000B02CA"/>
    <w:rsid w:val="000B0EC6"/>
    <w:rsid w:val="000B2123"/>
    <w:rsid w:val="000B6BB3"/>
    <w:rsid w:val="000B6D4B"/>
    <w:rsid w:val="000B7AD6"/>
    <w:rsid w:val="000C1260"/>
    <w:rsid w:val="000C156A"/>
    <w:rsid w:val="000C41CA"/>
    <w:rsid w:val="000C74EB"/>
    <w:rsid w:val="000D0BA6"/>
    <w:rsid w:val="000D5ADD"/>
    <w:rsid w:val="000E24B9"/>
    <w:rsid w:val="000E3758"/>
    <w:rsid w:val="000F5E72"/>
    <w:rsid w:val="000F6CA0"/>
    <w:rsid w:val="001003BC"/>
    <w:rsid w:val="00111A49"/>
    <w:rsid w:val="001128EC"/>
    <w:rsid w:val="00136C6F"/>
    <w:rsid w:val="00147580"/>
    <w:rsid w:val="00151BF5"/>
    <w:rsid w:val="001549EC"/>
    <w:rsid w:val="00155CE3"/>
    <w:rsid w:val="00156692"/>
    <w:rsid w:val="001638B1"/>
    <w:rsid w:val="00167224"/>
    <w:rsid w:val="001673B1"/>
    <w:rsid w:val="001729B2"/>
    <w:rsid w:val="001732EB"/>
    <w:rsid w:val="0017370C"/>
    <w:rsid w:val="00174095"/>
    <w:rsid w:val="00176EB7"/>
    <w:rsid w:val="00193F42"/>
    <w:rsid w:val="001A3902"/>
    <w:rsid w:val="001A4698"/>
    <w:rsid w:val="001B17C0"/>
    <w:rsid w:val="001B3D75"/>
    <w:rsid w:val="001C239E"/>
    <w:rsid w:val="001C4F66"/>
    <w:rsid w:val="001D122D"/>
    <w:rsid w:val="001D34FE"/>
    <w:rsid w:val="001E2CCC"/>
    <w:rsid w:val="001F580E"/>
    <w:rsid w:val="00200491"/>
    <w:rsid w:val="0020363D"/>
    <w:rsid w:val="002065EC"/>
    <w:rsid w:val="00213AD6"/>
    <w:rsid w:val="00215C35"/>
    <w:rsid w:val="00220B47"/>
    <w:rsid w:val="0022377E"/>
    <w:rsid w:val="002247FB"/>
    <w:rsid w:val="002407EE"/>
    <w:rsid w:val="00244105"/>
    <w:rsid w:val="00245B6B"/>
    <w:rsid w:val="00285B20"/>
    <w:rsid w:val="0029533B"/>
    <w:rsid w:val="002A0EC9"/>
    <w:rsid w:val="002A2F8B"/>
    <w:rsid w:val="002B26FB"/>
    <w:rsid w:val="002C406C"/>
    <w:rsid w:val="002C61D0"/>
    <w:rsid w:val="002D0E72"/>
    <w:rsid w:val="002D56BC"/>
    <w:rsid w:val="002F54C0"/>
    <w:rsid w:val="002F73DE"/>
    <w:rsid w:val="00306B23"/>
    <w:rsid w:val="00313EE1"/>
    <w:rsid w:val="00323F2F"/>
    <w:rsid w:val="003413B4"/>
    <w:rsid w:val="00344807"/>
    <w:rsid w:val="0035299D"/>
    <w:rsid w:val="0035545B"/>
    <w:rsid w:val="003556BE"/>
    <w:rsid w:val="00361532"/>
    <w:rsid w:val="00361C60"/>
    <w:rsid w:val="003642E5"/>
    <w:rsid w:val="00367E0B"/>
    <w:rsid w:val="0037591B"/>
    <w:rsid w:val="003802E5"/>
    <w:rsid w:val="0039071D"/>
    <w:rsid w:val="003A01CB"/>
    <w:rsid w:val="003A74C3"/>
    <w:rsid w:val="003B0A70"/>
    <w:rsid w:val="003B210F"/>
    <w:rsid w:val="003B241F"/>
    <w:rsid w:val="003C19D4"/>
    <w:rsid w:val="004041DF"/>
    <w:rsid w:val="00405339"/>
    <w:rsid w:val="00416D18"/>
    <w:rsid w:val="004229AA"/>
    <w:rsid w:val="00435DB8"/>
    <w:rsid w:val="0044005D"/>
    <w:rsid w:val="00440F2F"/>
    <w:rsid w:val="0045118B"/>
    <w:rsid w:val="004559A1"/>
    <w:rsid w:val="0045621E"/>
    <w:rsid w:val="004708F1"/>
    <w:rsid w:val="00475AA2"/>
    <w:rsid w:val="004763F7"/>
    <w:rsid w:val="00477201"/>
    <w:rsid w:val="00477239"/>
    <w:rsid w:val="0047777E"/>
    <w:rsid w:val="0048014D"/>
    <w:rsid w:val="0048242C"/>
    <w:rsid w:val="00486D32"/>
    <w:rsid w:val="00490623"/>
    <w:rsid w:val="004A73F1"/>
    <w:rsid w:val="004A74BB"/>
    <w:rsid w:val="004B113B"/>
    <w:rsid w:val="004B4AD5"/>
    <w:rsid w:val="004B595A"/>
    <w:rsid w:val="004B7520"/>
    <w:rsid w:val="004C1DEB"/>
    <w:rsid w:val="004C6192"/>
    <w:rsid w:val="004C7C10"/>
    <w:rsid w:val="004D08A3"/>
    <w:rsid w:val="004E5E7F"/>
    <w:rsid w:val="004F1069"/>
    <w:rsid w:val="00503B59"/>
    <w:rsid w:val="00503CBE"/>
    <w:rsid w:val="00510344"/>
    <w:rsid w:val="005139E6"/>
    <w:rsid w:val="005249C9"/>
    <w:rsid w:val="00544B1E"/>
    <w:rsid w:val="00550D6F"/>
    <w:rsid w:val="00551B02"/>
    <w:rsid w:val="005619C0"/>
    <w:rsid w:val="00562609"/>
    <w:rsid w:val="00572C0D"/>
    <w:rsid w:val="005755D2"/>
    <w:rsid w:val="00582A84"/>
    <w:rsid w:val="00584B67"/>
    <w:rsid w:val="005851AC"/>
    <w:rsid w:val="00587836"/>
    <w:rsid w:val="005938F7"/>
    <w:rsid w:val="005A4C78"/>
    <w:rsid w:val="005A7F94"/>
    <w:rsid w:val="005B06A5"/>
    <w:rsid w:val="005B416B"/>
    <w:rsid w:val="005C241D"/>
    <w:rsid w:val="005C5C5A"/>
    <w:rsid w:val="005D1080"/>
    <w:rsid w:val="005D1EE2"/>
    <w:rsid w:val="005D2AEC"/>
    <w:rsid w:val="005D3A01"/>
    <w:rsid w:val="005D5920"/>
    <w:rsid w:val="005E2207"/>
    <w:rsid w:val="005E2327"/>
    <w:rsid w:val="005E37AE"/>
    <w:rsid w:val="005E74CA"/>
    <w:rsid w:val="005F1A81"/>
    <w:rsid w:val="00612D66"/>
    <w:rsid w:val="0061398B"/>
    <w:rsid w:val="00640AC1"/>
    <w:rsid w:val="00642055"/>
    <w:rsid w:val="00646927"/>
    <w:rsid w:val="006519F3"/>
    <w:rsid w:val="0065332F"/>
    <w:rsid w:val="00656804"/>
    <w:rsid w:val="006634F9"/>
    <w:rsid w:val="006649CE"/>
    <w:rsid w:val="00671181"/>
    <w:rsid w:val="00672EC9"/>
    <w:rsid w:val="00681FAD"/>
    <w:rsid w:val="0068724B"/>
    <w:rsid w:val="006A5405"/>
    <w:rsid w:val="006A7DD1"/>
    <w:rsid w:val="006B1350"/>
    <w:rsid w:val="006B2ACC"/>
    <w:rsid w:val="006B30E1"/>
    <w:rsid w:val="006C40E5"/>
    <w:rsid w:val="006D1395"/>
    <w:rsid w:val="006D3D49"/>
    <w:rsid w:val="006D6C23"/>
    <w:rsid w:val="006D711D"/>
    <w:rsid w:val="006E08A1"/>
    <w:rsid w:val="006E251A"/>
    <w:rsid w:val="006F7CD7"/>
    <w:rsid w:val="00700866"/>
    <w:rsid w:val="0071319C"/>
    <w:rsid w:val="00717328"/>
    <w:rsid w:val="00723A91"/>
    <w:rsid w:val="00725535"/>
    <w:rsid w:val="007259BD"/>
    <w:rsid w:val="00731409"/>
    <w:rsid w:val="00732CCC"/>
    <w:rsid w:val="00733F9F"/>
    <w:rsid w:val="00741206"/>
    <w:rsid w:val="007446C9"/>
    <w:rsid w:val="00745908"/>
    <w:rsid w:val="00753596"/>
    <w:rsid w:val="00753B78"/>
    <w:rsid w:val="00763A77"/>
    <w:rsid w:val="0076418C"/>
    <w:rsid w:val="00791E1C"/>
    <w:rsid w:val="00792306"/>
    <w:rsid w:val="007A1FB3"/>
    <w:rsid w:val="007A56E7"/>
    <w:rsid w:val="007A729E"/>
    <w:rsid w:val="007B536B"/>
    <w:rsid w:val="007B703E"/>
    <w:rsid w:val="007C435D"/>
    <w:rsid w:val="007D02A9"/>
    <w:rsid w:val="007E2FB6"/>
    <w:rsid w:val="007E6AEC"/>
    <w:rsid w:val="007F1A4D"/>
    <w:rsid w:val="007F2770"/>
    <w:rsid w:val="007F5453"/>
    <w:rsid w:val="007F6CDF"/>
    <w:rsid w:val="00800979"/>
    <w:rsid w:val="008150C6"/>
    <w:rsid w:val="00821A37"/>
    <w:rsid w:val="00821C89"/>
    <w:rsid w:val="00821CDE"/>
    <w:rsid w:val="008242F2"/>
    <w:rsid w:val="00824742"/>
    <w:rsid w:val="008310E3"/>
    <w:rsid w:val="0083406C"/>
    <w:rsid w:val="008359AC"/>
    <w:rsid w:val="00851267"/>
    <w:rsid w:val="008513DF"/>
    <w:rsid w:val="00851F60"/>
    <w:rsid w:val="008570F9"/>
    <w:rsid w:val="00861E25"/>
    <w:rsid w:val="00862D08"/>
    <w:rsid w:val="0087034D"/>
    <w:rsid w:val="00876DA9"/>
    <w:rsid w:val="00882FEF"/>
    <w:rsid w:val="00883913"/>
    <w:rsid w:val="008A5BD1"/>
    <w:rsid w:val="008A7B2E"/>
    <w:rsid w:val="008B1DA6"/>
    <w:rsid w:val="008B54D9"/>
    <w:rsid w:val="008C029F"/>
    <w:rsid w:val="008C1C80"/>
    <w:rsid w:val="008C6C1F"/>
    <w:rsid w:val="008C753E"/>
    <w:rsid w:val="008D233E"/>
    <w:rsid w:val="008D46BA"/>
    <w:rsid w:val="008D6775"/>
    <w:rsid w:val="008E0681"/>
    <w:rsid w:val="008E461E"/>
    <w:rsid w:val="009353E0"/>
    <w:rsid w:val="00937AB5"/>
    <w:rsid w:val="00942AE3"/>
    <w:rsid w:val="0094487C"/>
    <w:rsid w:val="009501BE"/>
    <w:rsid w:val="00950F06"/>
    <w:rsid w:val="009537B6"/>
    <w:rsid w:val="009560CE"/>
    <w:rsid w:val="00970F0E"/>
    <w:rsid w:val="00974AEB"/>
    <w:rsid w:val="00974C8E"/>
    <w:rsid w:val="00981084"/>
    <w:rsid w:val="0098207E"/>
    <w:rsid w:val="009916AD"/>
    <w:rsid w:val="00995507"/>
    <w:rsid w:val="00996CB7"/>
    <w:rsid w:val="009A03B7"/>
    <w:rsid w:val="009A1DE3"/>
    <w:rsid w:val="009A4B5A"/>
    <w:rsid w:val="009B55DE"/>
    <w:rsid w:val="009C4974"/>
    <w:rsid w:val="009D6F30"/>
    <w:rsid w:val="009E2BEF"/>
    <w:rsid w:val="009E3DA9"/>
    <w:rsid w:val="009F166A"/>
    <w:rsid w:val="009F56F7"/>
    <w:rsid w:val="00A01CB0"/>
    <w:rsid w:val="00A20A6B"/>
    <w:rsid w:val="00A30F49"/>
    <w:rsid w:val="00A316EC"/>
    <w:rsid w:val="00A3557F"/>
    <w:rsid w:val="00A42EFB"/>
    <w:rsid w:val="00A47042"/>
    <w:rsid w:val="00A54147"/>
    <w:rsid w:val="00A61580"/>
    <w:rsid w:val="00A6204B"/>
    <w:rsid w:val="00A630A8"/>
    <w:rsid w:val="00A64BEF"/>
    <w:rsid w:val="00A711E3"/>
    <w:rsid w:val="00A822B1"/>
    <w:rsid w:val="00A84391"/>
    <w:rsid w:val="00A86DEC"/>
    <w:rsid w:val="00A9054F"/>
    <w:rsid w:val="00A91886"/>
    <w:rsid w:val="00A94F5C"/>
    <w:rsid w:val="00AA48E2"/>
    <w:rsid w:val="00AA74F0"/>
    <w:rsid w:val="00AC17D5"/>
    <w:rsid w:val="00AD671F"/>
    <w:rsid w:val="00AF533F"/>
    <w:rsid w:val="00AF5D74"/>
    <w:rsid w:val="00B05BAF"/>
    <w:rsid w:val="00B06D36"/>
    <w:rsid w:val="00B10B62"/>
    <w:rsid w:val="00B134CE"/>
    <w:rsid w:val="00B1381B"/>
    <w:rsid w:val="00B20044"/>
    <w:rsid w:val="00B22F6D"/>
    <w:rsid w:val="00B303FA"/>
    <w:rsid w:val="00B45E86"/>
    <w:rsid w:val="00B51820"/>
    <w:rsid w:val="00B53832"/>
    <w:rsid w:val="00B60DA9"/>
    <w:rsid w:val="00B637FB"/>
    <w:rsid w:val="00B81997"/>
    <w:rsid w:val="00B86349"/>
    <w:rsid w:val="00B95CFA"/>
    <w:rsid w:val="00B97807"/>
    <w:rsid w:val="00B97E6A"/>
    <w:rsid w:val="00BA0743"/>
    <w:rsid w:val="00BB0A8B"/>
    <w:rsid w:val="00BD29C8"/>
    <w:rsid w:val="00BD5556"/>
    <w:rsid w:val="00BD65B8"/>
    <w:rsid w:val="00BD7802"/>
    <w:rsid w:val="00BE1107"/>
    <w:rsid w:val="00BF4087"/>
    <w:rsid w:val="00C11919"/>
    <w:rsid w:val="00C176BF"/>
    <w:rsid w:val="00C201A7"/>
    <w:rsid w:val="00C25714"/>
    <w:rsid w:val="00C258C6"/>
    <w:rsid w:val="00C409E7"/>
    <w:rsid w:val="00C50BAB"/>
    <w:rsid w:val="00C532C5"/>
    <w:rsid w:val="00C54DB7"/>
    <w:rsid w:val="00C57A56"/>
    <w:rsid w:val="00C62D5C"/>
    <w:rsid w:val="00C62E6F"/>
    <w:rsid w:val="00C67232"/>
    <w:rsid w:val="00C70DA0"/>
    <w:rsid w:val="00C76D6A"/>
    <w:rsid w:val="00C87920"/>
    <w:rsid w:val="00C90641"/>
    <w:rsid w:val="00C975D3"/>
    <w:rsid w:val="00C97A3C"/>
    <w:rsid w:val="00CA3E38"/>
    <w:rsid w:val="00CA4D84"/>
    <w:rsid w:val="00CB07FB"/>
    <w:rsid w:val="00CB1739"/>
    <w:rsid w:val="00CB23E6"/>
    <w:rsid w:val="00CC1330"/>
    <w:rsid w:val="00CC7C95"/>
    <w:rsid w:val="00CD0A42"/>
    <w:rsid w:val="00CD5459"/>
    <w:rsid w:val="00CE0CC1"/>
    <w:rsid w:val="00CE57D4"/>
    <w:rsid w:val="00CF3F2C"/>
    <w:rsid w:val="00D02455"/>
    <w:rsid w:val="00D02689"/>
    <w:rsid w:val="00D11B4B"/>
    <w:rsid w:val="00D21127"/>
    <w:rsid w:val="00D23319"/>
    <w:rsid w:val="00D23518"/>
    <w:rsid w:val="00D24014"/>
    <w:rsid w:val="00D331E8"/>
    <w:rsid w:val="00D41621"/>
    <w:rsid w:val="00D417CF"/>
    <w:rsid w:val="00D41D23"/>
    <w:rsid w:val="00D57959"/>
    <w:rsid w:val="00D65F41"/>
    <w:rsid w:val="00D73C7E"/>
    <w:rsid w:val="00D7569F"/>
    <w:rsid w:val="00DA08E7"/>
    <w:rsid w:val="00DA2BB6"/>
    <w:rsid w:val="00DB0E80"/>
    <w:rsid w:val="00DC0505"/>
    <w:rsid w:val="00DC2C47"/>
    <w:rsid w:val="00DC49F3"/>
    <w:rsid w:val="00DC68E4"/>
    <w:rsid w:val="00DE3131"/>
    <w:rsid w:val="00DE5DB5"/>
    <w:rsid w:val="00DF3AE0"/>
    <w:rsid w:val="00E01B8D"/>
    <w:rsid w:val="00E0447A"/>
    <w:rsid w:val="00E051BB"/>
    <w:rsid w:val="00E123C8"/>
    <w:rsid w:val="00E13705"/>
    <w:rsid w:val="00E17B49"/>
    <w:rsid w:val="00E25047"/>
    <w:rsid w:val="00E27718"/>
    <w:rsid w:val="00E3368F"/>
    <w:rsid w:val="00E41AC0"/>
    <w:rsid w:val="00E477AF"/>
    <w:rsid w:val="00E5013D"/>
    <w:rsid w:val="00E603F4"/>
    <w:rsid w:val="00E63B41"/>
    <w:rsid w:val="00E645DC"/>
    <w:rsid w:val="00E72AF8"/>
    <w:rsid w:val="00E730E6"/>
    <w:rsid w:val="00E8017D"/>
    <w:rsid w:val="00E80778"/>
    <w:rsid w:val="00E965C4"/>
    <w:rsid w:val="00E97017"/>
    <w:rsid w:val="00EA4246"/>
    <w:rsid w:val="00EA5D78"/>
    <w:rsid w:val="00EB7ADC"/>
    <w:rsid w:val="00EC1D9F"/>
    <w:rsid w:val="00EC5992"/>
    <w:rsid w:val="00EC659A"/>
    <w:rsid w:val="00EC75C3"/>
    <w:rsid w:val="00EF05A6"/>
    <w:rsid w:val="00EF12B8"/>
    <w:rsid w:val="00F16243"/>
    <w:rsid w:val="00F20671"/>
    <w:rsid w:val="00F2072F"/>
    <w:rsid w:val="00F24F43"/>
    <w:rsid w:val="00F345B1"/>
    <w:rsid w:val="00F40B08"/>
    <w:rsid w:val="00F40FBC"/>
    <w:rsid w:val="00F52C26"/>
    <w:rsid w:val="00F61BCC"/>
    <w:rsid w:val="00F80C1E"/>
    <w:rsid w:val="00F823BE"/>
    <w:rsid w:val="00F84CF8"/>
    <w:rsid w:val="00F94F98"/>
    <w:rsid w:val="00F95A20"/>
    <w:rsid w:val="00F95C51"/>
    <w:rsid w:val="00F974A5"/>
    <w:rsid w:val="00FA0054"/>
    <w:rsid w:val="00FA1852"/>
    <w:rsid w:val="00FA64DE"/>
    <w:rsid w:val="00FB2CC8"/>
    <w:rsid w:val="00FB2E6A"/>
    <w:rsid w:val="00FB5065"/>
    <w:rsid w:val="00FC01A8"/>
    <w:rsid w:val="00FC4385"/>
    <w:rsid w:val="00FD216C"/>
    <w:rsid w:val="00FD5F8C"/>
    <w:rsid w:val="00FE0817"/>
    <w:rsid w:val="00FF28AE"/>
    <w:rsid w:val="00FF37A4"/>
    <w:rsid w:val="00FF4C20"/>
    <w:rsid w:val="00FF7F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MX" w:eastAsia="es-MX" w:bidi="es-MX"/>
      </w:rPr>
    </w:rPrDefault>
    <w:pPrDefault/>
  </w:docDefaults>
  <w:latentStyles w:defLockedState="0" w:defUIPriority="0" w:defSemiHidden="0" w:defUnhideWhenUsed="0" w:defQFormat="0" w:count="267">
    <w:lsdException w:name="heading 2" w:semiHidden="1" w:unhideWhenUsed="1"/>
    <w:lsdException w:name="heading 4" w:semiHidden="1" w:unhideWhenUsed="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Plain Text" w:uiPriority="99"/>
    <w:lsdException w:name="Normal (Web)" w:uiPriority="99"/>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autoRedefine/>
    <w:rsid w:val="00F61BCC"/>
    <w:pPr>
      <w:autoSpaceDE w:val="0"/>
      <w:autoSpaceDN w:val="0"/>
      <w:adjustRightInd w:val="0"/>
    </w:pPr>
    <w:rPr>
      <w:rFonts w:ascii="Arial" w:hAnsi="Arial" w:cs="Arial"/>
      <w:iCs/>
      <w:sz w:val="24"/>
      <w:szCs w:val="24"/>
    </w:rPr>
  </w:style>
  <w:style w:type="paragraph" w:styleId="Heading1">
    <w:name w:val="heading 1"/>
    <w:basedOn w:val="Normal"/>
    <w:next w:val="Normal"/>
    <w:autoRedefine/>
    <w:rsid w:val="000C156A"/>
    <w:pPr>
      <w:keepNext/>
      <w:spacing w:before="240" w:after="60"/>
      <w:outlineLvl w:val="0"/>
    </w:pPr>
    <w:rPr>
      <w:b/>
      <w:color w:val="000000"/>
      <w:kern w:val="28"/>
      <w:sz w:val="32"/>
    </w:rPr>
  </w:style>
  <w:style w:type="paragraph" w:styleId="Heading2">
    <w:name w:val="heading 2"/>
    <w:basedOn w:val="Normal"/>
    <w:next w:val="Normal"/>
    <w:link w:val="Heading2Char"/>
    <w:semiHidden/>
    <w:unhideWhenUsed/>
    <w:rsid w:val="000C74E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rsid w:val="00EB7ADC"/>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booktext">
    <w:name w:val="Stylebook text"/>
    <w:autoRedefine/>
    <w:rsid w:val="00995507"/>
    <w:pPr>
      <w:spacing w:after="120" w:line="280" w:lineRule="exact"/>
    </w:pPr>
    <w:rPr>
      <w:noProof/>
      <w:sz w:val="22"/>
    </w:rPr>
  </w:style>
  <w:style w:type="paragraph" w:customStyle="1" w:styleId="StylebookBold">
    <w:name w:val="Stylebook Bold"/>
    <w:basedOn w:val="Stylebooktext"/>
    <w:autoRedefine/>
    <w:rsid w:val="00995507"/>
    <w:rPr>
      <w:rFonts w:ascii="Verdana" w:hAnsi="Verdana"/>
      <w:b/>
      <w:smallCaps/>
      <w:spacing w:val="20"/>
    </w:rPr>
  </w:style>
  <w:style w:type="paragraph" w:customStyle="1" w:styleId="Stylebookcaps">
    <w:name w:val="Stylebook caps"/>
    <w:autoRedefine/>
    <w:rsid w:val="00995507"/>
    <w:rPr>
      <w:rFonts w:ascii="Verdana" w:hAnsi="Verdana"/>
      <w:b/>
      <w:caps/>
      <w:noProof/>
      <w:sz w:val="96"/>
    </w:rPr>
  </w:style>
  <w:style w:type="paragraph" w:styleId="Header">
    <w:name w:val="header"/>
    <w:basedOn w:val="Normal"/>
    <w:rsid w:val="00EB7ADC"/>
    <w:pPr>
      <w:tabs>
        <w:tab w:val="center" w:pos="4320"/>
        <w:tab w:val="right" w:pos="8640"/>
      </w:tabs>
    </w:pPr>
  </w:style>
  <w:style w:type="paragraph" w:styleId="Footer">
    <w:name w:val="footer"/>
    <w:basedOn w:val="Normal"/>
    <w:link w:val="FooterChar"/>
    <w:uiPriority w:val="99"/>
    <w:rsid w:val="00EB7ADC"/>
    <w:pPr>
      <w:tabs>
        <w:tab w:val="center" w:pos="4320"/>
        <w:tab w:val="right" w:pos="8640"/>
      </w:tabs>
    </w:pPr>
  </w:style>
  <w:style w:type="paragraph" w:customStyle="1" w:styleId="StyleLeft0">
    <w:name w:val="Style Left:  0&quot;"/>
    <w:basedOn w:val="Normal"/>
    <w:autoRedefine/>
    <w:rsid w:val="0048242C"/>
  </w:style>
  <w:style w:type="character" w:styleId="CommentReference">
    <w:name w:val="annotation reference"/>
    <w:semiHidden/>
    <w:rsid w:val="00C97A3C"/>
    <w:rPr>
      <w:sz w:val="16"/>
      <w:szCs w:val="16"/>
    </w:rPr>
  </w:style>
  <w:style w:type="paragraph" w:styleId="CommentText">
    <w:name w:val="annotation text"/>
    <w:basedOn w:val="Normal"/>
    <w:semiHidden/>
    <w:rsid w:val="00C97A3C"/>
  </w:style>
  <w:style w:type="paragraph" w:styleId="CommentSubject">
    <w:name w:val="annotation subject"/>
    <w:basedOn w:val="CommentText"/>
    <w:next w:val="CommentText"/>
    <w:semiHidden/>
    <w:rsid w:val="00C97A3C"/>
    <w:rPr>
      <w:b/>
      <w:bCs/>
    </w:rPr>
  </w:style>
  <w:style w:type="paragraph" w:styleId="BalloonText">
    <w:name w:val="Balloon Text"/>
    <w:basedOn w:val="Normal"/>
    <w:semiHidden/>
    <w:rsid w:val="00C97A3C"/>
    <w:rPr>
      <w:rFonts w:ascii="Tahoma" w:hAnsi="Tahoma" w:cs="Tahoma"/>
      <w:sz w:val="16"/>
      <w:szCs w:val="16"/>
    </w:rPr>
  </w:style>
  <w:style w:type="paragraph" w:styleId="BodyText">
    <w:name w:val="Body Text"/>
    <w:basedOn w:val="Normal"/>
    <w:link w:val="BodyTextChar"/>
    <w:rsid w:val="00176EB7"/>
  </w:style>
  <w:style w:type="character" w:customStyle="1" w:styleId="BodyTextChar">
    <w:name w:val="Body Text Char"/>
    <w:link w:val="BodyText"/>
    <w:rsid w:val="00176EB7"/>
    <w:rPr>
      <w:rFonts w:ascii="Arial" w:hAnsi="Arial"/>
    </w:rPr>
  </w:style>
  <w:style w:type="paragraph" w:styleId="BodyText2">
    <w:name w:val="Body Text 2"/>
    <w:basedOn w:val="Normal"/>
    <w:link w:val="BodyText2Char"/>
    <w:rsid w:val="00176EB7"/>
    <w:pPr>
      <w:spacing w:line="480" w:lineRule="auto"/>
    </w:pPr>
  </w:style>
  <w:style w:type="character" w:customStyle="1" w:styleId="BodyText2Char">
    <w:name w:val="Body Text 2 Char"/>
    <w:link w:val="BodyText2"/>
    <w:rsid w:val="00176EB7"/>
    <w:rPr>
      <w:rFonts w:ascii="Arial" w:hAnsi="Arial"/>
    </w:rPr>
  </w:style>
  <w:style w:type="paragraph" w:customStyle="1" w:styleId="04-Headline">
    <w:name w:val="04-Headline"/>
    <w:qFormat/>
    <w:rsid w:val="00725535"/>
    <w:pPr>
      <w:spacing w:before="600" w:after="240"/>
    </w:pPr>
    <w:rPr>
      <w:rFonts w:ascii="Arial" w:eastAsia="ヒラギノ角ゴ Pro W3" w:hAnsi="Arial"/>
      <w:b/>
      <w:noProof/>
      <w:color w:val="004E74"/>
      <w:sz w:val="28"/>
      <w:szCs w:val="28"/>
    </w:rPr>
  </w:style>
  <w:style w:type="paragraph" w:customStyle="1" w:styleId="06-BodyCopy">
    <w:name w:val="06-Body Copy"/>
    <w:qFormat/>
    <w:rsid w:val="00E01B8D"/>
    <w:pPr>
      <w:spacing w:after="180" w:line="300" w:lineRule="exact"/>
    </w:pPr>
    <w:rPr>
      <w:rFonts w:ascii="Arial" w:eastAsia="ヒラギノ角ゴ Pro W3" w:hAnsi="Arial"/>
      <w:color w:val="000000"/>
      <w:sz w:val="24"/>
      <w:szCs w:val="24"/>
    </w:rPr>
  </w:style>
  <w:style w:type="paragraph" w:customStyle="1" w:styleId="07-BulletedText">
    <w:name w:val="07-Bulleted Text"/>
    <w:qFormat/>
    <w:rsid w:val="000F6CA0"/>
    <w:pPr>
      <w:numPr>
        <w:numId w:val="9"/>
      </w:numPr>
      <w:spacing w:after="180" w:line="300" w:lineRule="exact"/>
    </w:pPr>
    <w:rPr>
      <w:rFonts w:ascii="Arial" w:eastAsia="ヒラギノ角ゴ Pro W3" w:hAnsi="Arial"/>
      <w:b/>
      <w:color w:val="000000"/>
      <w:sz w:val="24"/>
      <w:szCs w:val="24"/>
    </w:rPr>
  </w:style>
  <w:style w:type="paragraph" w:customStyle="1" w:styleId="05-Subheadline">
    <w:name w:val="05-Subheadline"/>
    <w:qFormat/>
    <w:rsid w:val="000F6CA0"/>
    <w:pPr>
      <w:spacing w:before="240" w:after="40" w:line="280" w:lineRule="exact"/>
    </w:pPr>
    <w:rPr>
      <w:rFonts w:ascii="Arial" w:eastAsia="ヒラギノ角ゴ Pro W3" w:hAnsi="Arial"/>
      <w:b/>
      <w:color w:val="014E75"/>
      <w:sz w:val="24"/>
    </w:rPr>
  </w:style>
  <w:style w:type="paragraph" w:customStyle="1" w:styleId="08-Caption">
    <w:name w:val="08-Caption"/>
    <w:basedOn w:val="06-BodyCopy"/>
    <w:autoRedefine/>
    <w:qFormat/>
    <w:rsid w:val="00046AB7"/>
    <w:rPr>
      <w:color w:val="32B1CE"/>
    </w:rPr>
  </w:style>
  <w:style w:type="character" w:styleId="Hyperlink">
    <w:name w:val="Hyperlink"/>
    <w:rsid w:val="00EA4246"/>
    <w:rPr>
      <w:color w:val="007939"/>
      <w:u w:val="single"/>
    </w:rPr>
  </w:style>
  <w:style w:type="paragraph" w:styleId="ListParagraph">
    <w:name w:val="List Paragraph"/>
    <w:basedOn w:val="Normal"/>
    <w:uiPriority w:val="34"/>
    <w:qFormat/>
    <w:rsid w:val="00EA4246"/>
    <w:pPr>
      <w:ind w:left="720"/>
      <w:contextualSpacing/>
    </w:pPr>
  </w:style>
  <w:style w:type="character" w:styleId="PageNumber">
    <w:name w:val="page number"/>
    <w:basedOn w:val="DefaultParagraphFont"/>
    <w:rsid w:val="00C409E7"/>
  </w:style>
  <w:style w:type="paragraph" w:customStyle="1" w:styleId="03-Contact-Info">
    <w:name w:val="03-Contact-Info"/>
    <w:autoRedefine/>
    <w:qFormat/>
    <w:rsid w:val="00D23319"/>
    <w:rPr>
      <w:rFonts w:ascii="Arial" w:hAnsi="Arial"/>
      <w:iCs/>
      <w:color w:val="1A1A1A"/>
    </w:rPr>
  </w:style>
  <w:style w:type="paragraph" w:customStyle="1" w:styleId="10-Address-Footer">
    <w:name w:val="10-Address-Footer"/>
    <w:autoRedefine/>
    <w:qFormat/>
    <w:rsid w:val="00E477AF"/>
    <w:rPr>
      <w:rFonts w:ascii="Arial" w:hAnsi="Arial"/>
      <w:color w:val="32B1CE"/>
      <w:sz w:val="18"/>
      <w:szCs w:val="18"/>
    </w:rPr>
  </w:style>
  <w:style w:type="paragraph" w:customStyle="1" w:styleId="09-News-Release-Header">
    <w:name w:val="09-News-Release-Header"/>
    <w:autoRedefine/>
    <w:qFormat/>
    <w:rsid w:val="00E477AF"/>
    <w:pPr>
      <w:tabs>
        <w:tab w:val="right" w:pos="9360"/>
      </w:tabs>
    </w:pPr>
    <w:rPr>
      <w:rFonts w:ascii="Arial" w:hAnsi="Arial"/>
      <w:color w:val="32B1CE"/>
      <w:sz w:val="18"/>
      <w:szCs w:val="18"/>
    </w:rPr>
  </w:style>
  <w:style w:type="paragraph" w:styleId="NormalWeb">
    <w:name w:val="Normal (Web)"/>
    <w:basedOn w:val="Normal"/>
    <w:uiPriority w:val="99"/>
    <w:unhideWhenUsed/>
    <w:rsid w:val="005755D2"/>
    <w:pPr>
      <w:spacing w:before="100" w:beforeAutospacing="1" w:after="100" w:afterAutospacing="1"/>
    </w:pPr>
    <w:rPr>
      <w:rFonts w:ascii="Times New Roman" w:eastAsia="Calibri" w:hAnsi="Times New Roman"/>
    </w:rPr>
  </w:style>
  <w:style w:type="character" w:customStyle="1" w:styleId="xn-org">
    <w:name w:val="xn-org"/>
    <w:basedOn w:val="DefaultParagraphFont"/>
    <w:rsid w:val="005755D2"/>
  </w:style>
  <w:style w:type="character" w:customStyle="1" w:styleId="xn-location">
    <w:name w:val="xn-location"/>
    <w:basedOn w:val="DefaultParagraphFont"/>
    <w:rsid w:val="005755D2"/>
  </w:style>
  <w:style w:type="character" w:styleId="FollowedHyperlink">
    <w:name w:val="FollowedHyperlink"/>
    <w:rsid w:val="0020363D"/>
    <w:rPr>
      <w:color w:val="00492F"/>
      <w:u w:val="single"/>
    </w:rPr>
  </w:style>
  <w:style w:type="paragraph" w:customStyle="1" w:styleId="Default">
    <w:name w:val="Default"/>
    <w:rsid w:val="009501BE"/>
    <w:pPr>
      <w:autoSpaceDE w:val="0"/>
      <w:autoSpaceDN w:val="0"/>
      <w:adjustRightInd w:val="0"/>
    </w:pPr>
    <w:rPr>
      <w:color w:val="000000"/>
      <w:sz w:val="24"/>
      <w:szCs w:val="24"/>
    </w:rPr>
  </w:style>
  <w:style w:type="character" w:customStyle="1" w:styleId="FooterChar">
    <w:name w:val="Footer Char"/>
    <w:link w:val="Footer"/>
    <w:uiPriority w:val="99"/>
    <w:rsid w:val="00155CE3"/>
    <w:rPr>
      <w:rFonts w:ascii="Arial" w:hAnsi="Arial" w:cs="Arial"/>
      <w:iCs/>
      <w:sz w:val="24"/>
      <w:szCs w:val="24"/>
    </w:rPr>
  </w:style>
  <w:style w:type="paragraph" w:styleId="Revision">
    <w:name w:val="Revision"/>
    <w:hidden/>
    <w:uiPriority w:val="99"/>
    <w:semiHidden/>
    <w:rsid w:val="001549EC"/>
    <w:rPr>
      <w:rFonts w:ascii="Arial" w:hAnsi="Arial" w:cs="Arial"/>
      <w:iCs/>
      <w:sz w:val="24"/>
      <w:szCs w:val="24"/>
    </w:rPr>
  </w:style>
  <w:style w:type="paragraph" w:styleId="PlainText">
    <w:name w:val="Plain Text"/>
    <w:basedOn w:val="Normal"/>
    <w:link w:val="PlainTextChar"/>
    <w:uiPriority w:val="99"/>
    <w:unhideWhenUsed/>
    <w:rsid w:val="009A1DE3"/>
    <w:pPr>
      <w:autoSpaceDE/>
      <w:autoSpaceDN/>
      <w:adjustRightInd/>
    </w:pPr>
    <w:rPr>
      <w:rFonts w:ascii="Courier" w:eastAsia="MS Mincho" w:hAnsi="Courier" w:cs="Times New Roman"/>
      <w:iCs w:val="0"/>
      <w:sz w:val="21"/>
      <w:szCs w:val="21"/>
    </w:rPr>
  </w:style>
  <w:style w:type="character" w:customStyle="1" w:styleId="PlainTextChar">
    <w:name w:val="Plain Text Char"/>
    <w:link w:val="PlainText"/>
    <w:uiPriority w:val="99"/>
    <w:rsid w:val="009A1DE3"/>
    <w:rPr>
      <w:rFonts w:ascii="Courier" w:eastAsia="MS Mincho" w:hAnsi="Courier"/>
      <w:sz w:val="21"/>
      <w:szCs w:val="21"/>
    </w:rPr>
  </w:style>
  <w:style w:type="character" w:customStyle="1" w:styleId="Heading2Char">
    <w:name w:val="Heading 2 Char"/>
    <w:basedOn w:val="DefaultParagraphFont"/>
    <w:link w:val="Heading2"/>
    <w:semiHidden/>
    <w:rsid w:val="000C74EB"/>
    <w:rPr>
      <w:rFonts w:asciiTheme="majorHAnsi" w:eastAsiaTheme="majorEastAsia" w:hAnsiTheme="majorHAnsi" w:cstheme="majorBidi"/>
      <w:b/>
      <w:bCs/>
      <w:i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MX" w:eastAsia="es-MX" w:bidi="es-MX"/>
      </w:rPr>
    </w:rPrDefault>
    <w:pPrDefault/>
  </w:docDefaults>
  <w:latentStyles w:defLockedState="0" w:defUIPriority="0" w:defSemiHidden="0" w:defUnhideWhenUsed="0" w:defQFormat="0" w:count="267">
    <w:lsdException w:name="heading 2" w:semiHidden="1" w:unhideWhenUsed="1"/>
    <w:lsdException w:name="heading 4" w:semiHidden="1" w:unhideWhenUsed="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Plain Text" w:uiPriority="99"/>
    <w:lsdException w:name="Normal (Web)" w:uiPriority="99"/>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autoRedefine/>
    <w:rsid w:val="00F61BCC"/>
    <w:pPr>
      <w:autoSpaceDE w:val="0"/>
      <w:autoSpaceDN w:val="0"/>
      <w:adjustRightInd w:val="0"/>
    </w:pPr>
    <w:rPr>
      <w:rFonts w:ascii="Arial" w:hAnsi="Arial" w:cs="Arial"/>
      <w:iCs/>
      <w:sz w:val="24"/>
      <w:szCs w:val="24"/>
    </w:rPr>
  </w:style>
  <w:style w:type="paragraph" w:styleId="Heading1">
    <w:name w:val="heading 1"/>
    <w:basedOn w:val="Normal"/>
    <w:next w:val="Normal"/>
    <w:autoRedefine/>
    <w:rsid w:val="000C156A"/>
    <w:pPr>
      <w:keepNext/>
      <w:spacing w:before="240" w:after="60"/>
      <w:outlineLvl w:val="0"/>
    </w:pPr>
    <w:rPr>
      <w:b/>
      <w:color w:val="000000"/>
      <w:kern w:val="28"/>
      <w:sz w:val="32"/>
    </w:rPr>
  </w:style>
  <w:style w:type="paragraph" w:styleId="Heading2">
    <w:name w:val="heading 2"/>
    <w:basedOn w:val="Normal"/>
    <w:next w:val="Normal"/>
    <w:link w:val="Heading2Char"/>
    <w:semiHidden/>
    <w:unhideWhenUsed/>
    <w:rsid w:val="000C74E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rsid w:val="00EB7ADC"/>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booktext">
    <w:name w:val="Stylebook text"/>
    <w:autoRedefine/>
    <w:rsid w:val="00995507"/>
    <w:pPr>
      <w:spacing w:after="120" w:line="280" w:lineRule="exact"/>
    </w:pPr>
    <w:rPr>
      <w:noProof/>
      <w:sz w:val="22"/>
    </w:rPr>
  </w:style>
  <w:style w:type="paragraph" w:customStyle="1" w:styleId="StylebookBold">
    <w:name w:val="Stylebook Bold"/>
    <w:basedOn w:val="Stylebooktext"/>
    <w:autoRedefine/>
    <w:rsid w:val="00995507"/>
    <w:rPr>
      <w:rFonts w:ascii="Verdana" w:hAnsi="Verdana"/>
      <w:b/>
      <w:smallCaps/>
      <w:spacing w:val="20"/>
    </w:rPr>
  </w:style>
  <w:style w:type="paragraph" w:customStyle="1" w:styleId="Stylebookcaps">
    <w:name w:val="Stylebook caps"/>
    <w:autoRedefine/>
    <w:rsid w:val="00995507"/>
    <w:rPr>
      <w:rFonts w:ascii="Verdana" w:hAnsi="Verdana"/>
      <w:b/>
      <w:caps/>
      <w:noProof/>
      <w:sz w:val="96"/>
    </w:rPr>
  </w:style>
  <w:style w:type="paragraph" w:styleId="Header">
    <w:name w:val="header"/>
    <w:basedOn w:val="Normal"/>
    <w:rsid w:val="00EB7ADC"/>
    <w:pPr>
      <w:tabs>
        <w:tab w:val="center" w:pos="4320"/>
        <w:tab w:val="right" w:pos="8640"/>
      </w:tabs>
    </w:pPr>
  </w:style>
  <w:style w:type="paragraph" w:styleId="Footer">
    <w:name w:val="footer"/>
    <w:basedOn w:val="Normal"/>
    <w:link w:val="FooterChar"/>
    <w:uiPriority w:val="99"/>
    <w:rsid w:val="00EB7ADC"/>
    <w:pPr>
      <w:tabs>
        <w:tab w:val="center" w:pos="4320"/>
        <w:tab w:val="right" w:pos="8640"/>
      </w:tabs>
    </w:pPr>
  </w:style>
  <w:style w:type="paragraph" w:customStyle="1" w:styleId="StyleLeft0">
    <w:name w:val="Style Left:  0&quot;"/>
    <w:basedOn w:val="Normal"/>
    <w:autoRedefine/>
    <w:rsid w:val="0048242C"/>
  </w:style>
  <w:style w:type="character" w:styleId="CommentReference">
    <w:name w:val="annotation reference"/>
    <w:semiHidden/>
    <w:rsid w:val="00C97A3C"/>
    <w:rPr>
      <w:sz w:val="16"/>
      <w:szCs w:val="16"/>
    </w:rPr>
  </w:style>
  <w:style w:type="paragraph" w:styleId="CommentText">
    <w:name w:val="annotation text"/>
    <w:basedOn w:val="Normal"/>
    <w:semiHidden/>
    <w:rsid w:val="00C97A3C"/>
  </w:style>
  <w:style w:type="paragraph" w:styleId="CommentSubject">
    <w:name w:val="annotation subject"/>
    <w:basedOn w:val="CommentText"/>
    <w:next w:val="CommentText"/>
    <w:semiHidden/>
    <w:rsid w:val="00C97A3C"/>
    <w:rPr>
      <w:b/>
      <w:bCs/>
    </w:rPr>
  </w:style>
  <w:style w:type="paragraph" w:styleId="BalloonText">
    <w:name w:val="Balloon Text"/>
    <w:basedOn w:val="Normal"/>
    <w:semiHidden/>
    <w:rsid w:val="00C97A3C"/>
    <w:rPr>
      <w:rFonts w:ascii="Tahoma" w:hAnsi="Tahoma" w:cs="Tahoma"/>
      <w:sz w:val="16"/>
      <w:szCs w:val="16"/>
    </w:rPr>
  </w:style>
  <w:style w:type="paragraph" w:styleId="BodyText">
    <w:name w:val="Body Text"/>
    <w:basedOn w:val="Normal"/>
    <w:link w:val="BodyTextChar"/>
    <w:rsid w:val="00176EB7"/>
  </w:style>
  <w:style w:type="character" w:customStyle="1" w:styleId="BodyTextChar">
    <w:name w:val="Body Text Char"/>
    <w:link w:val="BodyText"/>
    <w:rsid w:val="00176EB7"/>
    <w:rPr>
      <w:rFonts w:ascii="Arial" w:hAnsi="Arial"/>
    </w:rPr>
  </w:style>
  <w:style w:type="paragraph" w:styleId="BodyText2">
    <w:name w:val="Body Text 2"/>
    <w:basedOn w:val="Normal"/>
    <w:link w:val="BodyText2Char"/>
    <w:rsid w:val="00176EB7"/>
    <w:pPr>
      <w:spacing w:line="480" w:lineRule="auto"/>
    </w:pPr>
  </w:style>
  <w:style w:type="character" w:customStyle="1" w:styleId="BodyText2Char">
    <w:name w:val="Body Text 2 Char"/>
    <w:link w:val="BodyText2"/>
    <w:rsid w:val="00176EB7"/>
    <w:rPr>
      <w:rFonts w:ascii="Arial" w:hAnsi="Arial"/>
    </w:rPr>
  </w:style>
  <w:style w:type="paragraph" w:customStyle="1" w:styleId="04-Headline">
    <w:name w:val="04-Headline"/>
    <w:qFormat/>
    <w:rsid w:val="00725535"/>
    <w:pPr>
      <w:spacing w:before="600" w:after="240"/>
    </w:pPr>
    <w:rPr>
      <w:rFonts w:ascii="Arial" w:eastAsia="ヒラギノ角ゴ Pro W3" w:hAnsi="Arial"/>
      <w:b/>
      <w:noProof/>
      <w:color w:val="004E74"/>
      <w:sz w:val="28"/>
      <w:szCs w:val="28"/>
    </w:rPr>
  </w:style>
  <w:style w:type="paragraph" w:customStyle="1" w:styleId="06-BodyCopy">
    <w:name w:val="06-Body Copy"/>
    <w:qFormat/>
    <w:rsid w:val="00E01B8D"/>
    <w:pPr>
      <w:spacing w:after="180" w:line="300" w:lineRule="exact"/>
    </w:pPr>
    <w:rPr>
      <w:rFonts w:ascii="Arial" w:eastAsia="ヒラギノ角ゴ Pro W3" w:hAnsi="Arial"/>
      <w:color w:val="000000"/>
      <w:sz w:val="24"/>
      <w:szCs w:val="24"/>
    </w:rPr>
  </w:style>
  <w:style w:type="paragraph" w:customStyle="1" w:styleId="07-BulletedText">
    <w:name w:val="07-Bulleted Text"/>
    <w:qFormat/>
    <w:rsid w:val="000F6CA0"/>
    <w:pPr>
      <w:numPr>
        <w:numId w:val="9"/>
      </w:numPr>
      <w:spacing w:after="180" w:line="300" w:lineRule="exact"/>
    </w:pPr>
    <w:rPr>
      <w:rFonts w:ascii="Arial" w:eastAsia="ヒラギノ角ゴ Pro W3" w:hAnsi="Arial"/>
      <w:b/>
      <w:color w:val="000000"/>
      <w:sz w:val="24"/>
      <w:szCs w:val="24"/>
    </w:rPr>
  </w:style>
  <w:style w:type="paragraph" w:customStyle="1" w:styleId="05-Subheadline">
    <w:name w:val="05-Subheadline"/>
    <w:qFormat/>
    <w:rsid w:val="000F6CA0"/>
    <w:pPr>
      <w:spacing w:before="240" w:after="40" w:line="280" w:lineRule="exact"/>
    </w:pPr>
    <w:rPr>
      <w:rFonts w:ascii="Arial" w:eastAsia="ヒラギノ角ゴ Pro W3" w:hAnsi="Arial"/>
      <w:b/>
      <w:color w:val="014E75"/>
      <w:sz w:val="24"/>
    </w:rPr>
  </w:style>
  <w:style w:type="paragraph" w:customStyle="1" w:styleId="08-Caption">
    <w:name w:val="08-Caption"/>
    <w:basedOn w:val="06-BodyCopy"/>
    <w:autoRedefine/>
    <w:qFormat/>
    <w:rsid w:val="00046AB7"/>
    <w:rPr>
      <w:color w:val="32B1CE"/>
    </w:rPr>
  </w:style>
  <w:style w:type="character" w:styleId="Hyperlink">
    <w:name w:val="Hyperlink"/>
    <w:rsid w:val="00EA4246"/>
    <w:rPr>
      <w:color w:val="007939"/>
      <w:u w:val="single"/>
    </w:rPr>
  </w:style>
  <w:style w:type="paragraph" w:styleId="ListParagraph">
    <w:name w:val="List Paragraph"/>
    <w:basedOn w:val="Normal"/>
    <w:uiPriority w:val="34"/>
    <w:qFormat/>
    <w:rsid w:val="00EA4246"/>
    <w:pPr>
      <w:ind w:left="720"/>
      <w:contextualSpacing/>
    </w:pPr>
  </w:style>
  <w:style w:type="character" w:styleId="PageNumber">
    <w:name w:val="page number"/>
    <w:basedOn w:val="DefaultParagraphFont"/>
    <w:rsid w:val="00C409E7"/>
  </w:style>
  <w:style w:type="paragraph" w:customStyle="1" w:styleId="03-Contact-Info">
    <w:name w:val="03-Contact-Info"/>
    <w:autoRedefine/>
    <w:qFormat/>
    <w:rsid w:val="00D23319"/>
    <w:rPr>
      <w:rFonts w:ascii="Arial" w:hAnsi="Arial"/>
      <w:iCs/>
      <w:color w:val="1A1A1A"/>
    </w:rPr>
  </w:style>
  <w:style w:type="paragraph" w:customStyle="1" w:styleId="10-Address-Footer">
    <w:name w:val="10-Address-Footer"/>
    <w:autoRedefine/>
    <w:qFormat/>
    <w:rsid w:val="00E477AF"/>
    <w:rPr>
      <w:rFonts w:ascii="Arial" w:hAnsi="Arial"/>
      <w:color w:val="32B1CE"/>
      <w:sz w:val="18"/>
      <w:szCs w:val="18"/>
    </w:rPr>
  </w:style>
  <w:style w:type="paragraph" w:customStyle="1" w:styleId="09-News-Release-Header">
    <w:name w:val="09-News-Release-Header"/>
    <w:autoRedefine/>
    <w:qFormat/>
    <w:rsid w:val="00E477AF"/>
    <w:pPr>
      <w:tabs>
        <w:tab w:val="right" w:pos="9360"/>
      </w:tabs>
    </w:pPr>
    <w:rPr>
      <w:rFonts w:ascii="Arial" w:hAnsi="Arial"/>
      <w:color w:val="32B1CE"/>
      <w:sz w:val="18"/>
      <w:szCs w:val="18"/>
    </w:rPr>
  </w:style>
  <w:style w:type="paragraph" w:styleId="NormalWeb">
    <w:name w:val="Normal (Web)"/>
    <w:basedOn w:val="Normal"/>
    <w:uiPriority w:val="99"/>
    <w:unhideWhenUsed/>
    <w:rsid w:val="005755D2"/>
    <w:pPr>
      <w:spacing w:before="100" w:beforeAutospacing="1" w:after="100" w:afterAutospacing="1"/>
    </w:pPr>
    <w:rPr>
      <w:rFonts w:ascii="Times New Roman" w:eastAsia="Calibri" w:hAnsi="Times New Roman"/>
    </w:rPr>
  </w:style>
  <w:style w:type="character" w:customStyle="1" w:styleId="xn-org">
    <w:name w:val="xn-org"/>
    <w:basedOn w:val="DefaultParagraphFont"/>
    <w:rsid w:val="005755D2"/>
  </w:style>
  <w:style w:type="character" w:customStyle="1" w:styleId="xn-location">
    <w:name w:val="xn-location"/>
    <w:basedOn w:val="DefaultParagraphFont"/>
    <w:rsid w:val="005755D2"/>
  </w:style>
  <w:style w:type="character" w:styleId="FollowedHyperlink">
    <w:name w:val="FollowedHyperlink"/>
    <w:rsid w:val="0020363D"/>
    <w:rPr>
      <w:color w:val="00492F"/>
      <w:u w:val="single"/>
    </w:rPr>
  </w:style>
  <w:style w:type="paragraph" w:customStyle="1" w:styleId="Default">
    <w:name w:val="Default"/>
    <w:rsid w:val="009501BE"/>
    <w:pPr>
      <w:autoSpaceDE w:val="0"/>
      <w:autoSpaceDN w:val="0"/>
      <w:adjustRightInd w:val="0"/>
    </w:pPr>
    <w:rPr>
      <w:color w:val="000000"/>
      <w:sz w:val="24"/>
      <w:szCs w:val="24"/>
    </w:rPr>
  </w:style>
  <w:style w:type="character" w:customStyle="1" w:styleId="FooterChar">
    <w:name w:val="Footer Char"/>
    <w:link w:val="Footer"/>
    <w:uiPriority w:val="99"/>
    <w:rsid w:val="00155CE3"/>
    <w:rPr>
      <w:rFonts w:ascii="Arial" w:hAnsi="Arial" w:cs="Arial"/>
      <w:iCs/>
      <w:sz w:val="24"/>
      <w:szCs w:val="24"/>
    </w:rPr>
  </w:style>
  <w:style w:type="paragraph" w:styleId="Revision">
    <w:name w:val="Revision"/>
    <w:hidden/>
    <w:uiPriority w:val="99"/>
    <w:semiHidden/>
    <w:rsid w:val="001549EC"/>
    <w:rPr>
      <w:rFonts w:ascii="Arial" w:hAnsi="Arial" w:cs="Arial"/>
      <w:iCs/>
      <w:sz w:val="24"/>
      <w:szCs w:val="24"/>
    </w:rPr>
  </w:style>
  <w:style w:type="paragraph" w:styleId="PlainText">
    <w:name w:val="Plain Text"/>
    <w:basedOn w:val="Normal"/>
    <w:link w:val="PlainTextChar"/>
    <w:uiPriority w:val="99"/>
    <w:unhideWhenUsed/>
    <w:rsid w:val="009A1DE3"/>
    <w:pPr>
      <w:autoSpaceDE/>
      <w:autoSpaceDN/>
      <w:adjustRightInd/>
    </w:pPr>
    <w:rPr>
      <w:rFonts w:ascii="Courier" w:eastAsia="MS Mincho" w:hAnsi="Courier" w:cs="Times New Roman"/>
      <w:iCs w:val="0"/>
      <w:sz w:val="21"/>
      <w:szCs w:val="21"/>
    </w:rPr>
  </w:style>
  <w:style w:type="character" w:customStyle="1" w:styleId="PlainTextChar">
    <w:name w:val="Plain Text Char"/>
    <w:link w:val="PlainText"/>
    <w:uiPriority w:val="99"/>
    <w:rsid w:val="009A1DE3"/>
    <w:rPr>
      <w:rFonts w:ascii="Courier" w:eastAsia="MS Mincho" w:hAnsi="Courier"/>
      <w:sz w:val="21"/>
      <w:szCs w:val="21"/>
    </w:rPr>
  </w:style>
  <w:style w:type="character" w:customStyle="1" w:styleId="Heading2Char">
    <w:name w:val="Heading 2 Char"/>
    <w:basedOn w:val="DefaultParagraphFont"/>
    <w:link w:val="Heading2"/>
    <w:semiHidden/>
    <w:rsid w:val="000C74EB"/>
    <w:rPr>
      <w:rFonts w:asciiTheme="majorHAnsi" w:eastAsiaTheme="majorEastAsia" w:hAnsiTheme="majorHAnsi" w:cstheme="majorBidi"/>
      <w:b/>
      <w:bCs/>
      <w:i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145892">
      <w:bodyDiv w:val="1"/>
      <w:marLeft w:val="0"/>
      <w:marRight w:val="0"/>
      <w:marTop w:val="0"/>
      <w:marBottom w:val="0"/>
      <w:divBdr>
        <w:top w:val="none" w:sz="0" w:space="0" w:color="auto"/>
        <w:left w:val="none" w:sz="0" w:space="0" w:color="auto"/>
        <w:bottom w:val="none" w:sz="0" w:space="0" w:color="auto"/>
        <w:right w:val="none" w:sz="0" w:space="0" w:color="auto"/>
      </w:divBdr>
      <w:divsChild>
        <w:div w:id="613828937">
          <w:marLeft w:val="0"/>
          <w:marRight w:val="0"/>
          <w:marTop w:val="0"/>
          <w:marBottom w:val="400"/>
          <w:divBdr>
            <w:top w:val="none" w:sz="0" w:space="0" w:color="auto"/>
            <w:left w:val="none" w:sz="0" w:space="0" w:color="auto"/>
            <w:bottom w:val="none" w:sz="0" w:space="0" w:color="auto"/>
            <w:right w:val="none" w:sz="0" w:space="0" w:color="auto"/>
          </w:divBdr>
        </w:div>
      </w:divsChild>
    </w:div>
    <w:div w:id="171452326">
      <w:bodyDiv w:val="1"/>
      <w:marLeft w:val="0"/>
      <w:marRight w:val="0"/>
      <w:marTop w:val="0"/>
      <w:marBottom w:val="0"/>
      <w:divBdr>
        <w:top w:val="none" w:sz="0" w:space="0" w:color="auto"/>
        <w:left w:val="none" w:sz="0" w:space="0" w:color="auto"/>
        <w:bottom w:val="none" w:sz="0" w:space="0" w:color="auto"/>
        <w:right w:val="none" w:sz="0" w:space="0" w:color="auto"/>
      </w:divBdr>
    </w:div>
    <w:div w:id="317198299">
      <w:bodyDiv w:val="1"/>
      <w:marLeft w:val="0"/>
      <w:marRight w:val="0"/>
      <w:marTop w:val="0"/>
      <w:marBottom w:val="0"/>
      <w:divBdr>
        <w:top w:val="none" w:sz="0" w:space="0" w:color="auto"/>
        <w:left w:val="none" w:sz="0" w:space="0" w:color="auto"/>
        <w:bottom w:val="none" w:sz="0" w:space="0" w:color="auto"/>
        <w:right w:val="none" w:sz="0" w:space="0" w:color="auto"/>
      </w:divBdr>
    </w:div>
    <w:div w:id="521936806">
      <w:bodyDiv w:val="1"/>
      <w:marLeft w:val="0"/>
      <w:marRight w:val="0"/>
      <w:marTop w:val="0"/>
      <w:marBottom w:val="0"/>
      <w:divBdr>
        <w:top w:val="none" w:sz="0" w:space="0" w:color="auto"/>
        <w:left w:val="none" w:sz="0" w:space="0" w:color="auto"/>
        <w:bottom w:val="none" w:sz="0" w:space="0" w:color="auto"/>
        <w:right w:val="none" w:sz="0" w:space="0" w:color="auto"/>
      </w:divBdr>
    </w:div>
    <w:div w:id="766777754">
      <w:bodyDiv w:val="1"/>
      <w:marLeft w:val="0"/>
      <w:marRight w:val="0"/>
      <w:marTop w:val="0"/>
      <w:marBottom w:val="0"/>
      <w:divBdr>
        <w:top w:val="none" w:sz="0" w:space="0" w:color="auto"/>
        <w:left w:val="none" w:sz="0" w:space="0" w:color="auto"/>
        <w:bottom w:val="none" w:sz="0" w:space="0" w:color="auto"/>
        <w:right w:val="none" w:sz="0" w:space="0" w:color="auto"/>
      </w:divBdr>
      <w:divsChild>
        <w:div w:id="538518785">
          <w:marLeft w:val="0"/>
          <w:marRight w:val="0"/>
          <w:marTop w:val="0"/>
          <w:marBottom w:val="0"/>
          <w:divBdr>
            <w:top w:val="none" w:sz="0" w:space="0" w:color="auto"/>
            <w:left w:val="none" w:sz="0" w:space="0" w:color="auto"/>
            <w:bottom w:val="none" w:sz="0" w:space="0" w:color="auto"/>
            <w:right w:val="none" w:sz="0" w:space="0" w:color="auto"/>
          </w:divBdr>
        </w:div>
      </w:divsChild>
    </w:div>
    <w:div w:id="877861302">
      <w:bodyDiv w:val="1"/>
      <w:marLeft w:val="0"/>
      <w:marRight w:val="0"/>
      <w:marTop w:val="0"/>
      <w:marBottom w:val="0"/>
      <w:divBdr>
        <w:top w:val="none" w:sz="0" w:space="0" w:color="auto"/>
        <w:left w:val="none" w:sz="0" w:space="0" w:color="auto"/>
        <w:bottom w:val="none" w:sz="0" w:space="0" w:color="auto"/>
        <w:right w:val="none" w:sz="0" w:space="0" w:color="auto"/>
      </w:divBdr>
      <w:divsChild>
        <w:div w:id="689919383">
          <w:marLeft w:val="0"/>
          <w:marRight w:val="0"/>
          <w:marTop w:val="0"/>
          <w:marBottom w:val="400"/>
          <w:divBdr>
            <w:top w:val="none" w:sz="0" w:space="0" w:color="auto"/>
            <w:left w:val="none" w:sz="0" w:space="0" w:color="auto"/>
            <w:bottom w:val="none" w:sz="0" w:space="0" w:color="auto"/>
            <w:right w:val="none" w:sz="0" w:space="0" w:color="auto"/>
          </w:divBdr>
        </w:div>
      </w:divsChild>
    </w:div>
    <w:div w:id="906232672">
      <w:bodyDiv w:val="1"/>
      <w:marLeft w:val="0"/>
      <w:marRight w:val="0"/>
      <w:marTop w:val="0"/>
      <w:marBottom w:val="0"/>
      <w:divBdr>
        <w:top w:val="none" w:sz="0" w:space="0" w:color="auto"/>
        <w:left w:val="none" w:sz="0" w:space="0" w:color="auto"/>
        <w:bottom w:val="none" w:sz="0" w:space="0" w:color="auto"/>
        <w:right w:val="none" w:sz="0" w:space="0" w:color="auto"/>
      </w:divBdr>
    </w:div>
    <w:div w:id="1334453518">
      <w:bodyDiv w:val="1"/>
      <w:marLeft w:val="0"/>
      <w:marRight w:val="0"/>
      <w:marTop w:val="0"/>
      <w:marBottom w:val="0"/>
      <w:divBdr>
        <w:top w:val="none" w:sz="0" w:space="0" w:color="auto"/>
        <w:left w:val="none" w:sz="0" w:space="0" w:color="auto"/>
        <w:bottom w:val="none" w:sz="0" w:space="0" w:color="auto"/>
        <w:right w:val="none" w:sz="0" w:space="0" w:color="auto"/>
      </w:divBdr>
    </w:div>
    <w:div w:id="13376596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progress-energy.com/shared/save-energy-landing.page" TargetMode="External"/><Relationship Id="rId18"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s://www.progress-energy.com/florida/home/save-energy-money/energy-efficiency-improvements/home-energy-check/index.page?"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progress-energy.com/florida/home/save-energy-money/energy-efficiency-improvements/home-energy-check/index.page?" TargetMode="External"/><Relationship Id="rId5" Type="http://schemas.microsoft.com/office/2007/relationships/stylesWithEffects" Target="stylesWithEffects.xml"/><Relationship Id="rId15" Type="http://schemas.openxmlformats.org/officeDocument/2006/relationships/header" Target="header1.xml"/><Relationship Id="rId10" Type="http://schemas.openxmlformats.org/officeDocument/2006/relationships/hyperlink" Target="https://www.progress-energy.com/florida/home/save-energy-money/energy-efficiency-improvements/multi-family-programs/index.page?"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s://www.progress-energy.com/florida/home/save-energy-money/energy-efficiency-improvements/energy-wise/index.pag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ps9433\AppData\Local\Microsoft\Windows\Temporary%20Internet%20Files\Content.Outlook\1O74YG2T\NEW%20News-Release-6-3-13%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8C641C9CAAD642ADE2B4261907D3A8" ma:contentTypeVersion="6" ma:contentTypeDescription="Create a new document." ma:contentTypeScope="" ma:versionID="3823b208c4e88b73819f40020a839780">
  <xsd:schema xmlns:xsd="http://www.w3.org/2001/XMLSchema" xmlns:xs="http://www.w3.org/2001/XMLSchema" xmlns:p="http://schemas.microsoft.com/office/2006/metadata/properties" xmlns:ns1="http://schemas.microsoft.com/sharepoint/v3" xmlns:ns2="http://schemas.microsoft.com/sharepoint/v4" targetNamespace="http://schemas.microsoft.com/office/2006/metadata/properties" ma:root="true" ma:fieldsID="2f71a470a314da7214b307347402a744" ns1:_="" ns2:_="">
    <xsd:import namespace="http://schemas.microsoft.com/sharepoint/v3"/>
    <xsd:import namespace="http://schemas.microsoft.com/sharepoint/v4"/>
    <xsd:element name="properties">
      <xsd:complexType>
        <xsd:sequence>
          <xsd:element name="documentManagement">
            <xsd:complexType>
              <xsd:all>
                <xsd:element ref="ns1:EmailSender" minOccurs="0"/>
                <xsd:element ref="ns1:EmailTo" minOccurs="0"/>
                <xsd:element ref="ns1:EmailCc" minOccurs="0"/>
                <xsd:element ref="ns1:EmailFrom" minOccurs="0"/>
                <xsd:element ref="ns1:EmailSubject" minOccurs="0"/>
                <xsd:element ref="ns2:EmailHead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EmailSender" ma:index="8" nillable="true" ma:displayName="E-Mail Sender" ma:hidden="true" ma:internalName="EmailSender">
      <xsd:simpleType>
        <xsd:restriction base="dms:Note">
          <xsd:maxLength value="255"/>
        </xsd:restriction>
      </xsd:simpleType>
    </xsd:element>
    <xsd:element name="EmailTo" ma:index="9" nillable="true" ma:displayName="E-Mail To" ma:hidden="true" ma:internalName="EmailTo">
      <xsd:simpleType>
        <xsd:restriction base="dms:Note">
          <xsd:maxLength value="255"/>
        </xsd:restriction>
      </xsd:simpleType>
    </xsd:element>
    <xsd:element name="EmailCc" ma:index="10" nillable="true" ma:displayName="E-Mail Cc" ma:hidden="true" ma:internalName="EmailCc">
      <xsd:simpleType>
        <xsd:restriction base="dms:Note">
          <xsd:maxLength value="255"/>
        </xsd:restriction>
      </xsd:simpleType>
    </xsd:element>
    <xsd:element name="EmailFrom" ma:index="11" nillable="true" ma:displayName="E-Mail From" ma:hidden="true" ma:internalName="EmailFrom">
      <xsd:simpleType>
        <xsd:restriction base="dms:Text"/>
      </xsd:simpleType>
    </xsd:element>
    <xsd:element name="EmailSubject" ma:index="12" nillable="true" ma:displayName="E-Mail Subject" ma:hidden="true" ma:internalName="EmailSubject">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EmailHeaders" ma:index="13" nillable="true" ma:displayName="E-Mail Headers" ma:hidden="true" ma:internalName="EmailHeaders">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E1ED77-3DCB-4FDF-B9B9-B106A44469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718EC6C-76AB-4F5B-B113-5D3F91F1B47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NEW News-Release-6-3-13 (2).dotx</Template>
  <TotalTime>0</TotalTime>
  <Pages>4</Pages>
  <Words>1337</Words>
  <Characters>7622</Characters>
  <Application>Microsoft Office Word</Application>
  <DocSecurity>4</DocSecurity>
  <Lines>63</Lines>
  <Paragraphs>17</Paragraphs>
  <ScaleCrop>false</ScaleCrop>
  <HeadingPairs>
    <vt:vector size="2" baseType="variant">
      <vt:variant>
        <vt:lpstr>Title</vt:lpstr>
      </vt:variant>
      <vt:variant>
        <vt:i4>1</vt:i4>
      </vt:variant>
    </vt:vector>
  </HeadingPairs>
  <TitlesOfParts>
    <vt:vector size="1" baseType="lpstr">
      <vt:lpstr>Duke Energy memo template MS Word</vt:lpstr>
    </vt:vector>
  </TitlesOfParts>
  <Company>Duke Energy Corporation</Company>
  <LinksUpToDate>false</LinksUpToDate>
  <CharactersWithSpaces>8942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Duke Energy memo template MS Word</dc:title>
  <dc:subject>Office Templates</dc:subject>
  <dc:creator>KBHill</dc:creator>
  <cp:keywords>Duke Energy, memorandum, memo, template, Microsoft Word</cp:keywords>
  <dc:description>Use this template for creating informal memos. Prints best on black and white.</dc:description>
  <cp:lastModifiedBy>Shiel, Tom Jr</cp:lastModifiedBy>
  <cp:revision>2</cp:revision>
  <cp:lastPrinted>2014-01-10T16:43:00Z</cp:lastPrinted>
  <dcterms:created xsi:type="dcterms:W3CDTF">2016-06-22T19:57:00Z</dcterms:created>
  <dcterms:modified xsi:type="dcterms:W3CDTF">2016-06-22T19:57:00Z</dcterms:modified>
  <cp:category>Brand Identity Guidelines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partment">
    <vt:lpwstr>MBS</vt:lpwstr>
  </property>
  <property fmtid="{D5CDD505-2E9C-101B-9397-08002B2CF9AE}" pid="3" name="EP-Security">
    <vt:lpwstr>Internet Secured LinksEnabled</vt:lpwstr>
  </property>
  <property fmtid="{D5CDD505-2E9C-101B-9397-08002B2CF9AE}" pid="4" name="ContentTypeId">
    <vt:lpwstr>0x010100428C641C9CAAD642ADE2B4261907D3A8</vt:lpwstr>
  </property>
  <property fmtid="{D5CDD505-2E9C-101B-9397-08002B2CF9AE}" pid="5" name="EmailTo">
    <vt:lpwstr/>
  </property>
  <property fmtid="{D5CDD505-2E9C-101B-9397-08002B2CF9AE}" pid="6" name="EmailHeaders">
    <vt:lpwstr/>
  </property>
  <property fmtid="{D5CDD505-2E9C-101B-9397-08002B2CF9AE}" pid="7" name="EmailSender">
    <vt:lpwstr/>
  </property>
  <property fmtid="{D5CDD505-2E9C-101B-9397-08002B2CF9AE}" pid="8" name="EmailFrom">
    <vt:lpwstr/>
  </property>
  <property fmtid="{D5CDD505-2E9C-101B-9397-08002B2CF9AE}" pid="9" name="EmailSubject">
    <vt:lpwstr/>
  </property>
  <property fmtid="{D5CDD505-2E9C-101B-9397-08002B2CF9AE}" pid="10" name="EmailCc">
    <vt:lpwstr/>
  </property>
</Properties>
</file>